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Beitragsstopper / Projekt 51</w:t>
      </w:r>
    </w:p>
    <w:p>
      <w:pPr>
        <w:pStyle w:val="Title"/>
      </w:pPr>
      <w:r>
        <w:t>Neufassung V5 - Leseweg und Verwendung</w:t>
      </w:r>
    </w:p>
    <w:p>
      <w:r>
        <w:t>Stand: 4. Oktober 2026. Diese Fassung ersetzt die redaktionellen Vorlagen V4 für den programmbezogenen Vortrag. Sie verändert weder bereits eingereichte Anträge noch die unveränderten Originalgutachten. Es handelt sich um eine ausgearbeitete allgemeine Begründung mit einem zentralen individuellen Fallbogen, nicht um 102 bereits geprüfte Klägerakten.</w:t>
      </w:r>
    </w:p>
    <w:p>
      <w:pPr>
        <w:pStyle w:val="Heading2"/>
      </w:pPr>
      <w:r>
        <w:t>1. Was jetzt ausgearbeitet ist</w:t>
      </w:r>
    </w:p>
    <w:p>
      <w:r>
        <w:t>Die vier Abschnitte enthalten die tatsächlichen Kernaussagen und methodischen Herleitungen unmittelbar. Die Studien werden mit Gegenstand, Zeitraum, Befund, Quellenstelle und Aussagegrenze behandelt. Der Rundfunkalarm-CSV-Export wurde technisch neu ausgewertet. Die Hauptzahlen, Medien- und Senderverteilung, Monatsreihe, Datenqualität und drei bestimmte Sendungsgruppen sind dokumentiert. Die allgemeine Tatsachenbegründung ist nicht mehr durch einen Platzhalter mit der Aufforderung ersetzt, erst selbst passende Indizien zusammenzusuchen.</w:t>
      </w:r>
    </w:p>
    <w:p>
      <w:r>
        <w:t>Ein neuer Schwerpunkt ist die Verbindung von zehn im Export gespeicherten Eingaben zum heute journal vom 15.02.2026 mit einer offiziellen ZDF-Mitteilung zu Fehler und Abhilfe. Diese Verbindung beweist denselben Sendungsgegenstand, nicht die Zustellung oder Ursächlichkeit jeder einzelnen Plattformeingabe. Zwei weitere Fallgruppen sind mit ihren Kennungen und ihrem jeweils begrenzten Ergebnisstand ausgearbeitet. Der Befund einer angeblich allgemeinen Wirkungslosigkeit wird nicht entgegen diesen Quellen aufrechterhalten.</w:t>
      </w:r>
    </w:p>
    <w:p>
      <w:r>
        <w:t>Die ursprünglichen rechtlichen Ansätze aus V-Gutachten, Rundfunkalarm-Gutachten und Kurzgutachten sind integriert. Die ergänzte Rundfunkalarm-Fassung vom 13.09.2026 und die wiedergefundene Jeitner-Originalarbeit sind berücksichtigt. Hinzu kommen ausdrücklich gekennzeichnete amtliche Rechtsprechung und die originale veröffentlichte Ukraine-Untersuchung. Eigene Nachrechnung, Quellenwiedergabe und rechtliche Ableitung werden nicht gleichgesetzt.</w:t>
      </w:r>
    </w:p>
    <w:p>
      <w:pPr>
        <w:pStyle w:val="Heading2"/>
      </w:pPr>
      <w:r>
        <w:t>2. Welche Fassung verwendet wird</w:t>
      </w:r>
    </w:p>
    <w:p>
      <w:r>
        <w:t>A ist die Begründung für eine Anfechtung bestimmter Beitragsbescheide. F ist die gesonderte Feststellungskonstruktion für Projekt 51. Beide benutzen dieselben Abschnitte 2 bis 4. Sie haben unterschiedliche Abschnitte 1 und unterschiedliche Antragsblätter. Sie werden nicht als zwei automatische Anträge derselben Klage zusammengefügt.</w:t>
      </w:r>
    </w:p>
    <w:p>
      <w:r>
        <w:t>Im Ordner 04_Gesamtfassungen steht jede Route bereits zusammengefügt. Die Ordner 01 bis 03 enthalten denselben Text modular. Entweder die passende Gesamtfassung verwenden oder die passenden Einzelteile zusammenstellen; nicht beides doppelt einreichen. Das Belegregister B01 und die technischen Nachweise sind ergänzende Arbeits- und Einreichungsunterlagen. Die alten drei eigenen Gutachten müssen zum Verständnis der neuen allgemeinen Argumentation nicht nochmals als Vollbände beigefügt werden. Ihre zugrunde liegenden Quellen und Rohdaten bleiben eigenständige Nachweise.</w:t>
      </w:r>
    </w:p>
    <w:p>
      <w:pPr>
        <w:pStyle w:val="Heading2"/>
      </w:pPr>
      <w:r>
        <w:t>3. Was ausschließlich aus der individuellen Akte kommen muss</w:t>
      </w:r>
    </w:p>
    <w:p>
      <w:r>
        <w:t>Namen, Beklagte, Gericht, Aktenzeichen, Bescheidlisten, Zustellung und Fristen bleiben einzusetzen. Ebenso der passende Beitrags- und Untersuchungszeitraum. Bei Projekt 51 kommen der vollständige Vorprozess, tatsächlich gestellte Anträge, Rechtskraftstatus, eigene Zugangsversuche, eigene Antworten und die gegenwärtige Rechtswirkung hinzu. Diese Angaben können nicht aus den gemeinsamen Studien abgeleitet werden. Ein unverändert leerer Fallbogen darf nicht eingereicht werden.</w:t>
      </w:r>
    </w:p>
    <w:p>
      <w:r>
        <w:t>Die allgemeine Klagebegründung bleibt auf den Erkenntnisstand der Quellen begrenzt. Es gibt noch keine neue, unabhängig validierte Untersuchung des Gesamtprogramms aller beitragsfinanzierten Medien über das jeweilige Zweijahresfenster. Es gibt auch keine vollständige Antwortanalyse aller 4.086 Plattformvorgänge. Die vorhandenen Daten und Fallgruppen ersetzen diese fehlenden Erhebungen nicht. Sie sind gleichwohl konkrete, prüfbare Erkenntnisse und nicht bloße Forschungsankündigungen.</w:t>
      </w:r>
    </w:p>
    <w:p>
      <w:pPr>
        <w:pStyle w:val="Heading2"/>
      </w:pPr>
      <w:r>
        <w:t>4. Besonders zu prüfen: Projekt 51</w:t>
      </w:r>
    </w:p>
    <w:p>
      <w:r>
        <w:t>Die neue Feststellungskonstruktion bleibt rechtlich risikobehaftet. Das gilt trotz verlorenen eigenen Vorprozesses und trotz umfangreichen Tatsachenvortrags. Das Begehren kann als unselbständige Vorfrage oder als Umgehung anderweitigen Rechtsschutzes eingeordnet werden. Die Fassung behandelt hierfür sowohl günstige als auch entgegenstehende Entscheidungen, insbesondere BVerwG 9 B 8.24 und 6 B 25.07. Eine höchstrichterliche Anerkennung der behaupteten rundfunkrechtlichen Konsistenzbindung wird nicht behauptet.</w:t>
      </w:r>
    </w:p>
    <w:p>
      <w:r>
        <w:t>Der Gerichtsstand der früheren Anfechtung gilt nicht automatisch auch für die neue Feststellung. § 52 Nr. 5 VwGO kann zur Zuständigkeit am Sitz der Beklagten führen. Das Ziel von 102 Klägern und zwei Verfahren vor jedem der 51 Verwaltungsgerichte bleibt ein Organisationsziel, keine bereits rechtlich gesicherte Verteilung. Die Fassung ist keine Freigabe für eine ungeprüfte gleichzeitige Einreichung aller Fälle.</w:t>
      </w:r>
    </w:p>
    <w:p>
      <w:pPr>
        <w:pStyle w:val="Heading2"/>
      </w:pPr>
      <w:r>
        <w:t>5. Belege und Quellenarchiv</w:t>
      </w:r>
    </w:p>
    <w:p>
      <w:r>
        <w:t>Das Paket enthält berechnete Tabellen, ein nachvollziehbares Skript und ausgewählte Beschwerdekennungen. Es enthält nicht automatisch jede fremde Original-PDF und nicht die persönlichen Klägerunterlagen. Im Register ist bezeichnet, welche Quelle als bereitgestellte Datei vorliegt und welche nur online im Original gelesen wurde. Ein Internetlink oder der Eintrag in der Bibliothek ist nicht gleichbedeutend mit gerichtlicher Vorlage. Den tatsächlichen Einreichungsstatus legt die jeweilige Anlagenliste fest.</w:t>
      </w:r>
    </w:p>
    <w:p>
      <w:r>
        <w:t>Vorhandene Originale bleiben unverändert; historische Fassungen werden nicht überschrieben. Keine unterschriebene Exporterklärung oder Zeugenaussage wurde erzeugt. Die technische Nachrechnung ist als solche kenntlich. Bei einer öffentlichen Bereitstellung sind Freitexte, Personenangaben und Rechte Dritter getrennt zu behandeln. Dieses Paket ist keine pauschale Veröffentlichungsfreigabe des gesamten Arbeitsarchivs.</w:t>
      </w:r>
    </w:p>
    <w:p>
      <w:pPr>
        <w:pStyle w:val="Heading2"/>
      </w:pPr>
      <w:r>
        <w:t>6. Abschlusskontrolle vor Verwendung</w:t>
      </w:r>
    </w:p>
    <w:p>
      <w:r>
        <w:t>Zu kontrollieren sind nur die fallentscheidenden Punkte: richtige Route, vollständiger Fallbogen, passende Zeitfenster, tatsächlicher Anlagenbestand, bestimmte Sachanträge, Fristen und Kosten. Eine qualifizierte anwaltliche Prüfung der gewählten Route bleibt erforderlich, gerade bei der eigenständigen Feststellung. Quellen- und Rechenprüfung dieser Fassung sind keine richterliche Zulässigkeitsentscheidung und keine Garantie eines bestimmten Prozessergebnisses.</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Leseweg und Freigabestand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Leseweg und Freigabestand</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