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Anforderung der zugehörigen Forschungsdateien</w:t>
      </w:r>
    </w:p>
    <w:p>
      <w:pPr>
        <w:pStyle w:val="Title"/>
      </w:pPr>
      <w:r>
        <w:t>Zwei getrennt verwendbare Anschreiben</w:t>
      </w:r>
    </w:p>
    <w:p>
      <w:pPr>
        <w:pStyle w:val="Heading2"/>
      </w:pPr>
      <w:r>
        <w:t>A. An den Verfasser der O-Ton-Auswertung</w:t>
      </w:r>
    </w:p>
    <w:p>
      <w:r>
        <w:t>Lieber Jens,</w:t>
      </w:r>
    </w:p>
    <w:p>
      <w:r>
        <w:t>vielen Dank für das Gesamtgutachten zur Einbindung von O-Tönen mit Parteizuordnung in vier Nachrichtensendungen. Wir haben die PDF-Fassung jetzt mit ihren tatsächlichen Korpora und Erkennungsverfahren in den gemeinsamen Schriftsatz eingearbeitet. Die Zahlen werden als technische Zählung bezeichnet, nicht als unmittelbare Messung journalistischer Wahrheit, Ausgewogenheit oder tatsächlicher Redezeit.</w:t>
      </w:r>
    </w:p>
    <w:p>
      <w:r>
        <w:t>Für die weitere Verwendung brauchen wir das in Kapitel 9 bezeichnete vollständige zusammengehörige Dateipaket. Bitte stelle die Unterordner Tagesschau, ZDF-heute, BR24, hessenschau-hr, Ohne-Kanzler-Merz und Gesamtgutachten als ZIP oder zugänglichen Ordner bereit. Benötigt werden insbesondere aggregate.json, die jeweiligen Excel-Dateien, Methodikdateien, vorhandene Prüfsummenlisten, die Markdownfassung und das Erzeugungsskript. Die vorhandene PDF muss nicht erneut erstellt werden.</w:t>
      </w:r>
    </w:p>
    <w:p>
      <w:r>
        <w:t>Bitte erläutere außerdem die Versionsfrage: Der Bericht trägt den Stand 16.09.2026, der hessenschau-Zeitraum reicht bis 17.09.2026. Wir möchten festhalten, welche Dateien zu welcher finalen Fassung gehören, nicht einen möglichen redaktionellen Datumsfehler stillschweigend korrigieren. Bitte bestätige auch, wer die Auswertung fachlich und technisch verantwortet und welche Quellenbestände dabei tatsächlich gespeichert wurden.</w:t>
      </w:r>
    </w:p>
    <w:p>
      <w:r>
        <w:t>Zur Erkennung benötigen wir die Regeln für Zusammenfassung, Mehrfachtreffer, fehlende Parteizeilen und unterschiedliche Zeitraster. Gibt es bereits einen menschlich kontrollierten Abgleich an Originalvideos, bitte dessen Auswahlregel und Ergebnisse mitliefern. Die im Bericht beschriebene zweite KI-Prüfung der inneren Konsistenz wird nicht als erneute Prüfung der Videoerkennung dargestellt. Fehlt ein menschlicher Kontrollbestand, bitte genau diesen Stand angeben; nichts muss nachträglich als bereits erfolgt bestätigt werden.</w:t>
      </w:r>
    </w:p>
    <w:p>
      <w:r>
        <w:t>Für BR24 und hessenschau sind die konkreten Abrufwege, Suchzeiträume, fehlenden Ausgaben, Sperrmeldungen und bereits erprobten rechtmäßigen Alternativen wichtig. Der Befund einer begrenzten Mediatheksauswahl wird von einer allgemeinen Unzugänglichkeit aller Archive unterschieden. Eine Liste der tatsächlich einbezogenen Ausgaben mit Kennungen und Abrufdatum wäre dafür besonders hilfreich.</w:t>
      </w:r>
    </w:p>
    <w:p>
      <w:r>
        <w:t>Bitte teile getrennt mit, welche Dateien wir im gerichtlichen Verfahren verwenden, intern archivieren und unter rundfunkrebellen.de/quellen öffentlich anbieten dürfen. Eine öffentliche Weiterverbreitung geschützten Sendungsmaterials oder personenbezogener Daten wird nicht pauschal vorausgesetzt. Wir verwenden deine Angaben quellengetreu und lassen jede inhaltliche Aussage auf ihre tatsächliche Reichweite begrenzt.</w:t>
      </w:r>
    </w:p>
    <w:p>
      <w:r>
        <w:t>Vielen Dank und herzliche Grüße [Name]</w:t>
      </w:r>
    </w:p>
    <w:p>
      <w:pPr>
        <w:pStyle w:val="Heading2"/>
      </w:pPr>
      <w:r>
        <w:t>B. An Glashaus Technologies</w:t>
      </w:r>
    </w:p>
    <w:p>
      <w:r>
        <w:t>Sehr geehrte Damen und Herren,</w:t>
      </w:r>
    </w:p>
    <w:p>
      <w:r>
        <w:t>wir verwenden das Whitepaper vom 25.06.2026 zur langfristigen Untersuchung der gekennzeichneten Tagesthemen-Kommentare als bestimmten empirischen Untersuchungsansatz. Die öffentliche PDF liegt vollständig vor. Sie wird nicht als bereits gerichtlich bestätigter Nachweis einer Gesamtprogrammverfehlung oder als Messung politischer Einflussnahme bezeichnet.</w:t>
      </w:r>
    </w:p>
    <w:p>
      <w:r>
        <w:t>Für eine wissenschaftlich nachvollziehbare Verwendung bitten wir um die zur veröffentlichten Fassung gehörenden Bestands- und Methodenunterlagen: Liste der 5.597 Folgen, Kennungen und Segmentgrenzen der 2.911 Kommentare, Transkriptherkunft, tatsächlich verwendete Referenzprogramme samt Gültigkeitszuordnung, Modell- und Anweisungsversionen, Auswahl- und Aggregationsskripte sowie dokumentierte Ausschlüsse und Fehlerbehandlung. Bitte unterscheiden Sie vorhandene freigabefähige Dateien von nicht gespeicherten oder rechtlich nicht weitergebbaren Inhalten.</w:t>
      </w:r>
    </w:p>
    <w:p>
      <w:r>
        <w:t>Besonders wichtig ist die Null-Kodierung. Bitte erläutern Sie, wie fehlender erkennbarer Programmbezug von technischen Fehlversuchen oder nicht auswertbaren Inhalten unterschieden wird. Benötigt werden ferner die Regeln zur Themenzuordnung, insbesondere zur großen Sammelkategorie Sonstiges, und die Bestimmung der 178 Wahlkampffolgen im Verhältnis zu den 2.733 übrigen Folgen.</w:t>
      </w:r>
    </w:p>
    <w:p>
      <w:r>
        <w:t>Soweit externe menschliche Kontrollbewertungen oder unabhängige Kalibrierungen bereits existieren, bitten wir um deren Methodik, Auswahl und Ergebnisse. Ihre eigenen Hinweise auf begrenzte externe Validierung werden beibehalten. Wir bitten nicht um die nachträgliche Bestätigung einer bereits abgeschlossenen Validierung, wenn diese noch nicht vorliegt.</w:t>
      </w:r>
    </w:p>
    <w:p>
      <w:r>
        <w:t>Für individuelle Beitragsverfahren werden zeitlich abgegrenzte Teilkorpora benötigt. Bitte teilen Sie mit, ob vorhandene Einzelwerte einen nachvollziehbaren Export für bestimmte Zweijahresfenster erlauben, ohne den Langzeitmittelwert auf jede Periode zu übertragen. Auch eine technische Beschreibung des möglichen Exports ist zunächst hilfreich.</w:t>
      </w:r>
    </w:p>
    <w:p>
      <w:r>
        <w:t>Schließlich bitten wir um eine klare Erklärung der Nutzungsrechte für gerichtliche Vorlage, interne Archivierung und öffentliche Bereitstellung der PDF sowie gesondert der Forschungsdateien. Autorenschaft, Versionsangaben und Quellenhinweise bleiben erhalten. Eine weitergehende inhaltliche Aussage als die von Ihrer Methode gedeckte wird nicht unter Ihrem Namen verbreitet.</w:t>
      </w:r>
    </w:p>
    <w:p>
      <w:r>
        <w:t>Mit freundlichen Grüßen [Name]</w:t>
      </w:r>
    </w:p>
    <w:sectPr w:rsidR="00FC693F" w:rsidRPr="0006063C" w:rsidSect="00034616">
      <w:headerReference w:type="default" r:id="rId9"/>
      <w:footerReference w:type="default" r:id="rId10"/>
      <w:pgSz w:w="11906" w:h="16838"/>
      <w:pgMar w:top="1276" w:right="1474" w:bottom="1162" w:left="1474" w:header="595"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fldSimple w:instr="PAGE">
      <w:r>
        <w:t>1</w:t>
      </w:r>
    </w:fldSimple>
    <w:r>
      <w:rPr>
        <w:sz w:val="18"/>
      </w:rPr>
      <w:t xml:space="preserve"> von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pBdr>
        <w:bottom w:val="single" w:sz="4" w:color="CCD4DC"/>
      </w:pBdr>
    </w:pPr>
    <w:r>
      <w:rPr>
        <w:color w:val="536374"/>
        <w:sz w:val="17"/>
      </w:rPr>
      <w:t>Anfragen an die Verfasser | V5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40"/>
    </w:pPr>
    <w:rPr>
      <w:rFonts w:ascii="Liberation Serif" w:hAnsi="Liberation Serif"/>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00"/>
      <w:outlineLvl w:val="0"/>
    </w:pPr>
    <w:rPr>
      <w:rFonts w:asciiTheme="majorHAnsi" w:eastAsiaTheme="majorEastAsia" w:hAnsiTheme="majorHAnsi" w:cstheme="majorBidi" w:ascii="Liberation Serif" w:hAnsi="Liberation Serif"/>
      <w:b/>
      <w:bCs/>
      <w:color w:val="172F45"/>
      <w:sz w:val="34"/>
      <w:szCs w:val="28"/>
      <w:lang w:val="de-DE"/>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Liberation Serif" w:hAnsi="Liberation Serif"/>
      <w:b/>
      <w:bCs/>
      <w:color w:val="172F45"/>
      <w:sz w:val="26"/>
      <w:szCs w:val="26"/>
      <w:lang w:val="de-D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erif" w:hAnsi="Liberation Serif"/>
      <w:b/>
      <w:bCs/>
      <w:color w:val="172F45"/>
      <w:sz w:val="24"/>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Liberation Serif" w:hAnsi="Liberation Serif"/>
      <w:b/>
      <w:color w:val="172F45"/>
      <w:spacing w:val="5"/>
      <w:kern w:val="28"/>
      <w:sz w:val="4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erif" w:hAnsi="Liberation Serif"/>
      <w:b w:val="0"/>
      <w:i/>
      <w:iCs/>
      <w:color w:val="172F45"/>
      <w:spacing w:val="15"/>
      <w:sz w:val="26"/>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Anfragen an die Verfasser</dc:title>
  <dc:subject>Modulare Klage- und Arbeitsfassung V5</dc:subject>
  <dc:creator/>
  <cp:keywords>Beitragsstopper; Projekt 51; V5; 2026-10-04</cp:keywords>
  <dc:description>Ausgearbeitete allgemeine Vorlage. Keine eingereichte oder unterschriebene Klage; individuelle Fallangaben sind einzusetzen.</dc:description>
  <cp:lastModifiedBy/>
  <cp:revision>1</cp:revision>
  <dcterms:created xsi:type="dcterms:W3CDTF">2013-12-23T23:15:00Z</dcterms:created>
  <dcterms:modified xsi:type="dcterms:W3CDTF">2013-12-23T23:15:00Z</dcterms:modified>
  <cp:category/>
</cp:coreProperties>
</file>