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Abschnitt 4</w:t>
      </w:r>
    </w:p>
    <w:p>
      <w:pPr>
        <w:pStyle w:val="Title"/>
      </w:pPr>
      <w:r>
        <w:t>Erkenntniszugang, rechtliche Herleitung und bestimmte Aufklärungsbegehren</w:t>
      </w:r>
    </w:p>
    <w:p>
      <w:r>
        <w:t>Die vorstehenden Abschnitte liefern die Tatsachenbasis. Dieser Abschnitt entwickelt daraus die rechtlichen Folgerungen für die Sachaufklärung. Er integriert die entsprechenden Argumente des V-Gutachtens, des Kurzgutachtens und der Grundlagenuntersuchung, ohne deren umfangreiche Wiederholungen als gesonderte Anlagen vorauszusetzen. Die rechtlichen Begriffe werden auf die bereits bestimmten Quellen, Korpora und Beschwerdefälle angewendet. Der Schriftsatz verlangt keine allgemeine Durchsuchung sämtlicher Archive auf beliebige Fehler.</w:t>
      </w:r>
    </w:p>
    <w:p>
      <w:r>
        <w:t>Zwischen den beiden Verfahrensarten bleibt zu unterscheiden. In der Anfechtungsklage sind die Tatsachen für die bezeichneten Bescheide und ihren verfassungsrechtlichen Hintergrund erheblich. Im Projekt-51-Verfahren stehen die eigene Vorentscheidung, der anschließende konkrete Zugangskonflikt und die behauptete gegenwärtige Rechtsbeziehung im Mittelpunkt. Ein umfangreicher Programmvortrag ersetzt dort nicht die Begründung der selbständigen Feststellungsfähigkeit.</w:t>
      </w:r>
    </w:p>
    <w:p>
      <w:pPr>
        <w:pStyle w:val="Heading2"/>
      </w:pPr>
      <w:r>
        <w:t>4.1 Erkenntnis geht Beweiswürdigung voraus</w:t>
      </w:r>
    </w:p>
    <w:p>
      <w:r>
        <w:t>Die Ausgangsgutachten beschreiben ein sachliches Problem: Bevor eine komplexe institutionelle Leistung rechtlich bewertet werden kann, müssen ihre entscheidungserheblichen tatsächlichen Merkmale zugänglich und untersuchbar sein. Der Ausdruck institutioneller Lebenssachverhalt bezeichnet hier den Zusammenhang vieler aufeinanderfolgender Auswahl-, Veröffentlichungs- und Korrekturentscheidungen. Er ändert nicht die gesetzlichen Klagearten. Er verdeutlicht vielmehr, weshalb einzelne Ausschnitte und eine bloße institutionelle Selbstbeschreibung den Untersuchungsgegenstand nicht vollständig abbilden. [S01, Kap. 7-14; S04, Abschn. B-D; S05, Teile I-III]</w:t>
      </w:r>
    </w:p>
    <w:p>
      <w:r>
        <w:t>Die digitale Erkenntnisordnung beschreibt in den Ausgangsarbeiten die Bedingungen, unter denen Informationen erzeugt, gespeichert, verändert und zugänglich gemacht werden. Funktionale Kohärenz bezeichnet den Zusammenhang zwischen gesetzlichem Auftrag, organisatorischer Ausgestaltung und tatsächlicher Leistung. In dieser Klage werden diese Begriffe nicht als zusätzliche Anspruchsgrundlagen verwendet. Ihr Nutzen liegt in der geordneten Frage, welche tatsächlichen Zwischenschritte eine rechtliche Aussage voraussetzt.</w:t>
      </w:r>
    </w:p>
    <w:p>
      <w:r>
        <w:t>Angewendet auf die vorgelegten Daten bedeutet dies: Eine Tabelle mit Beschwerde-IDs beantwortet nicht den Inhalt der Antworten. Ein Video beantwortet nicht notwendig, nach welchem Auswahlplan es in ein wissenschaftliches Korpus gelangte. Ein veröffentlichter Gremienausgang beantwortet nicht automatisch, welche individuelle Eingabe dort mitbehandelt wurde. Die Rechtsanwendung darf diese verschiedenen Erkenntnisquellen nicht ohne Begründung gegeneinander austauschen.</w:t>
      </w:r>
    </w:p>
    <w:p>
      <w:pPr>
        <w:pStyle w:val="Heading2"/>
      </w:pPr>
      <w:r>
        <w:t>4.2 Der materielle Maßstab bestimmt die benötigte Erkenntnis</w:t>
      </w:r>
    </w:p>
    <w:p>
      <w:r>
        <w:t>Die Klägerseite akzeptiert, dass sich die Sachaufklärung auf entscheidungserhebliche Tatsachen beschränkt. Sie leitet aus der Größe des Rundfunks keine Pflicht zu einer grenzenlosen Gesamtinspektion ab. Der Umfang muss aus der konkret geltend gemachten Rechtsfolge und dem rechtlichen Prüfungsmaßstab entwickelt werden. Dieser verlangt nach R01 einen längerfristigen, gesamtangebotsbezogenen und erheblichen Befund, nicht die positive Bestätigung jeder idealen Programmvorstellung. [R01, Rn. 36-48]</w:t>
      </w:r>
    </w:p>
    <w:p>
      <w:r>
        <w:t>Daraus ergeben sich zwei Konsequenzen. Einerseits darf der Untersuchungsgegenstand nicht auf diejenigen Daten verkürzt werden, die gerade am leichtesten zugänglich sind. Andererseits muss nicht jede intern vorhandene Datei für die Rechtsfrage erheblich sein. Für eine Fehlerkorrektur können Originalfassung, Korrekturvermerk und Ergebnisentscheidung genügen. Für eine Stichprobenabdeckung ist eher ein Sendungs- oder Bestandsverzeichnis erforderlich. Für eine unbewiesene politische Absicht wäre eine ganz andere und häufig nicht vorhandene Tatsachengrundlage nötig.</w:t>
      </w:r>
    </w:p>
    <w:p>
      <w:r>
        <w:t>Die im V-Gutachten angesprochenen CMS-Systeme und internen Metadaten werden deshalb nicht pauschal zum Gegenstand einer Herausgabeforderung gemacht. Bezeichnet werden vorhandene Informationen, soweit ihre Funktion für einen bestimmten Prüfschritt nachvollziehbar ist. Ein gewünschtes neues Kategoriensystem oder eine neue Volltranskription ist nicht schon deshalb ein vorhandenes Dokument, weil sich ihre Herstellung technisch denken lässt.</w:t>
      </w:r>
    </w:p>
    <w:p>
      <w:pPr>
        <w:pStyle w:val="Heading2"/>
      </w:pPr>
      <w:r>
        <w:t>4.3 Drei getrennte Stufen der gerichtlichen Prüfung</w:t>
      </w:r>
    </w:p>
    <w:p>
      <w:r>
        <w:t>Die erste Stufe betrifft die form- und fristgerechte Erhebung der Klage sowie den bestimmten Antrag. Die zweite betrifft die Frage, ob der bereits vorliegende Tatsachenvortrag eine weitergehende Aufklärung veranlasst. Die dritte betrifft die abschließende richterliche Überzeugung vom entscheidungserheblichen Sachverhalt. Diese Stufen haben unterschiedliche Anforderungen. Eine Klage kann ordnungsgemäß erhoben sein und dennoch an unzureichendem materiellem Vortrag scheitern. Umgekehrt darf der Anlass zur Beweiserhebung nicht mit dem bereits geführten Endbeweis gleichgesetzt werden. [R02, §§ 82, 86, 108]</w:t>
      </w:r>
    </w:p>
    <w:p>
      <w:r>
        <w:t>Die Klägerseite macht für die zweite Stufe die konkret eingeführten Befunde geltend. Sie beschränkt sich nicht mehr auf die Ankündigung eines späteren Gutachtens. Die vorhandenen Studien haben bestimmte Untersuchungsobjekte und Ergebnisse; die CSV-Nachrechnung und die Fallgruppe F01 sind tatsächlich ausgeführt. Der weitere Erkenntnisbedarf ist daraus abgeleitet. Ob diese Befunde für eine umfassendere Gesamtprogrammprüfung genügen, bleibt eine gerichtliche Bewertung, deren Voraussetzungen die Klägerseite nicht als bereits erfüllt unterstellt.</w:t>
      </w:r>
    </w:p>
    <w:p>
      <w:r>
        <w:t>Eine fehlende Vollabdeckung aller Angebote darf deshalb nicht jedes einzelne, bereits konkrete Beweisthema unsichtbar machen. Zugleich reicht die bloße Möglichkeit eines Fehlers nicht für eine beliebige Ermittlung. Die angeregten ersten Schritte betreffen begrenzte Daten und bereits identifizierte Vorgänge. Erst ihre Ergebnisse können die Grundlage für eine weitergehende fachliche Untersuchung bilden.</w:t>
      </w:r>
    </w:p>
    <w:p>
      <w:pPr>
        <w:pStyle w:val="Heading2"/>
      </w:pPr>
      <w:r>
        <w:t>4.4 Amtsermittlung, Beteiligtenmitwirkung und Hinweise</w:t>
      </w:r>
    </w:p>
    <w:p>
      <w:r>
        <w:t>Nach § 86 Abs. 1 VwGO erforscht das Gericht den Sachverhalt von Amts wegen und zieht die Beteiligten heran. Es ist nicht an die Beweisangebote der Parteien gebunden. Die Klägerseite beansprucht deshalb nicht die alleinige Entscheidung über Untersuchungsmethode, Gutachter oder Reihenfolge. Sie legt einen begründeten Vorschlag vor, aus dem für jede begehrte Erkenntnis der bekannte Ausgangspunkt und der noch offene Schritt hervorgehen. [R02]</w:t>
      </w:r>
    </w:p>
    <w:p>
      <w:r>
        <w:t>Das Gericht wird gebeten, verbleibende Mängel des Vortrags konkret zu bezeichnen, soweit dies zur sachgerechten Prozessführung erforderlich ist: fehlende zeitliche Zuordnung, unzureichende Quellenqualität, nicht tragfähige Kategorien, unzureichende Repräsentativität oder fehlender Gesamtbezug. Ein solcher Hinweis ist nicht gleichbedeutend mit der Erstellung eines Forschungsprojekts durch das Gericht. Er erlaubt der Klägerseite aber, auf einen tatsächlich erheblichen Mangel zu reagieren, statt neue, unverbundene Unterlagen anzuhäufen. [R02, § 86 Abs. 3 und § 87]</w:t>
      </w:r>
    </w:p>
    <w:p>
      <w:r>
        <w:t>Aus der Amtsermittlung folgt keine automatische Pflicht der Beklagten, ihre vollständige Auftragserfüllung vorsorglich zu beweisen. Ebenso wenig entscheidet eine von der Beklagten verwendete Textbausteinformel die Aufklärungsfrage. Die Beteiligtenmitwirkung ist auf bestimmte tatsächliche Kenntnisse und Unterlagen zu beziehen. Zu einem namentlich bezeichneten Beschwerdeverfahren kann etwa eine vorhandene Zuordnungsinformation verlangt werden, ohne dass damit eine allgemeine Umkehr der materiellen Beweislast behauptet wird.</w:t>
      </w:r>
    </w:p>
    <w:p>
      <w:pPr>
        <w:pStyle w:val="Heading2"/>
      </w:pPr>
      <w:r>
        <w:t>4.5 Effektiver Rechtsschutz und wirtschaftliche Erkenntnishürden</w:t>
      </w:r>
    </w:p>
    <w:p>
      <w:r>
        <w:t>Art. 19 Abs. 4 GG bildet den verfassungsrechtlichen Bezugspunkt dafür, dass die gesetzlich eröffnete Kontrolle praktisch wirksam bleiben muss. Die Klägerseite leitet daraus keinen allgemeinen Anspruch auf gleiche finanzielle, personelle und technische Ausstattung wie eine Rundfunkanstalt ab. Sie macht einen engeren Punkt geltend: Eine konkrete Einwendung darf nicht von einer Erkenntnisleistung abhängig gemacht werden, deren benötigte Grundlagen trotz zumutbarer eigener Bemühungen gerade nicht erreichbar sind, ohne dass das Gericht die tatsächlichen Hindernisse untersucht. [R12; S01, Kap. 11-13]</w:t>
      </w:r>
    </w:p>
    <w:p>
      <w:r>
        <w:t>Dabei bleibt die Gegenposition aus R01 zu behandeln. Das Bundesverwaltungsgericht geht in Randnummer 48 davon aus, dass die substantiierte Darlegung nicht auf unüberwindbare Schwierigkeiten stoße. Dieser Satz wird nicht verschwiegen. Er ist aber keine tatsächliche Feststellung, dass jeder konkrete Archivbestand zu jedem historischen Zeitraum für jeden Beteiligten zu denselben Bedingungen verfügbar ist. Die hiesige Argumentation muss daher die tatsächliche besondere Barriere nachweisen und darf nicht allein die allgemeine Größe der Aufgabe wiederholen.</w:t>
      </w:r>
    </w:p>
    <w:p>
      <w:r>
        <w:t>Der VGH Baden-Württemberg hat im Urteil vom 14. April 2026 - 2 S 2529/25 - auf den Entscheidungsseiten 30 bis 32 die wirtschaftliche Zumutbarkeit einer vorgelagerten privaten Großuntersuchung problematisiert. Die Klägerseite greift diesen Gesichtspunkt als rechtliches Argument auf. Sie bezeichnet weder die dort erwähnten parteiseitigen Kostenangaben als eigene nachgeprüfte Kalkulation noch die Entscheidung als gewonnenen Beitragsprozess: Die Berufung wurde zurückgewiesen, und der VGH äußert daneben erhebliche materielle Bedenken gegen den Prüfansatz. [R03]</w:t>
      </w:r>
    </w:p>
    <w:p>
      <w:r>
        <w:t>Die eigene Folgerung lautet: Technisch und wirtschaftlich nachvollziehbare Beschaffungsangebote sind genauer als pauschale Unmöglichkeitsbehauptungen. Erforderlich sind der konkret beschriebene Auftrag, der benötigte Zeitraum, vorhandene Bestände, tatsächliche Preis- und Zugangsauskünfte sowie geeignete Alternativen. Solche individuellen Unterlagen dürfen nicht erfunden werden. Die gemeinsamen Studienbefunde ersetzen sie nicht; sie konkretisieren aber, wofür eine bestimmte Beschaffung überhaupt erforderlich wäre.</w:t>
      </w:r>
    </w:p>
    <w:p>
      <w:pPr>
        <w:pStyle w:val="Heading2"/>
      </w:pPr>
      <w:r>
        <w:t>4.6 Sekundäre Darlegungslast ohne falschen Automatismus</w:t>
      </w:r>
    </w:p>
    <w:p>
      <w:r>
        <w:t>Das V-Gutachten und das Kurzgutachten verwenden den Gedanken einer informationsnäheren Partei. Dieser Gedanke bleibt für die Verteilung zumutbarer Mitwirkung bedeutsam. Wer eine bestimmte vorhandene Auskunfts- oder Ergebnisakte selbst führt, kann zu deren Bestand und Inhalt regelmäßig genauer vortragen als ein außenstehender Beitragszahler. Die hiesige Argumentation wird jedoch auf die eigenen Regeln des Verwaltungsprozesses gestützt und nicht durch ein bloßes zivilprozessuales Schlagwort ersetzt. [S04, Abschn. E-F; R02, §§ 86, 87, 99]</w:t>
      </w:r>
    </w:p>
    <w:p>
      <w:r>
        <w:t>Voraussetzung ist eine bestimmte Frage. Bei F01 lautet sie beispielsweise, ob die unter ihrer jeweiligen Kennung übermittelten Eingaben einer bekannten Leiteingabe zugeordnet wurden und welche Ergebnisantwort vorhanden ist. Bei einem Sendungsarchiv lautet sie, ob ein benanntes Format im benannten Zeitraum vorhanden und unter welchen Bedingungen zugänglich ist. Diese Angaben liegen näher an der Organisation der informationshaltenden Stelle als an der öffentlichen Wahrnehmung des Klägers.</w:t>
      </w:r>
    </w:p>
    <w:p>
      <w:r>
        <w:t>Daraus wird weder ein Geständnis durch Schweigen noch eine allgemeine Umkehr der Beweislast abgeleitet. Das Gericht würdigt das Verhalten der Beteiligten im Zusammenhang mit den sonstigen Erkenntnissen. Ein nicht vorhandenes Dokument kann nicht durch Schweigen existent werden. Ein unbeantworteter Brief beweist nicht seine Berechtigung. Die Rechtsposition auf eine bestimmte außerprozessuale Leistung bedarf gegebenenfalls einer eigenen gesetzlichen oder sonst tragfähigen Grundlage.</w:t>
      </w:r>
    </w:p>
    <w:p>
      <w:pPr>
        <w:pStyle w:val="Heading2"/>
      </w:pPr>
      <w:r>
        <w:t>4.7 Abgrenzung des im Kurzgutachten genannten BGH-Verfahrens</w:t>
      </w:r>
    </w:p>
    <w:p>
      <w:r>
        <w:t>Das Kurzgutachten verweist auf BGH VI ZR 335/24 vom 9. März 2026. Die amtliche Einordnung betrifft einen arzneimittelrechtlichen Auskunfts- und Haftungsstreit. Der dortige Auskunftsanspruch beruht auf einer besonderen gesetzlichen Regelung, insbesondere § 84a AMG. Das Verfahren wird deshalb nicht als bereits ergangene Entscheidung über einen allgemeinen Zugang zu Rundfunkarchiven zitiert. [S04, Abschn. F III-VI; R06]</w:t>
      </w:r>
    </w:p>
    <w:p>
      <w:r>
        <w:t>Als Vergleichsgedanke ist die Unterscheidung zwischen einer Voraussetzung für Informationszugang und dem vollständigen Nachweis des mit der Information vorzubereitenden Hauptanspruchs relevant. Diese Unterscheidung erzeugt aber keine fehlende Anspruchsgrundlage in einem anderen Rechtsgebiet. Eine entsprechende Übertragung müsste den gesetzlichen Zweck, die tatsächliche Interessenlage und die Grenzen der Analogie darlegen. Die vorliegende Klage hängt deshalb nicht davon ab, einen arzneimittelrechtlichen Spezialanspruch stillschweigend zu verallgemeinern.</w:t>
      </w:r>
    </w:p>
    <w:p>
      <w:r>
        <w:t>Die weitergehende Formulierung des Ausgangsgutachtens wird insoweit ausdrücklich begrenzt. Erhalten bleibt die Frage, wie ein Gericht ein tatsächlich relevantes Informationsgefälle in seiner eigenen Verfahrensordnung behandelt. Diese Frage wird hier anhand der konkreten Quellen und der §§ 86, 87, 99 und 108 VwGO ausgearbeitet.</w:t>
      </w:r>
    </w:p>
    <w:p>
      <w:pPr>
        <w:pStyle w:val="Heading2"/>
      </w:pPr>
      <w:r>
        <w:t>4.8 Rohdatenanalogien und die Grenze zur Neuerzeugung</w:t>
      </w:r>
    </w:p>
    <w:p>
      <w:r>
        <w:t>Die Ausgangsarbeiten greifen den Zugang zu Rohmessdaten als Vergleich auf. Die verfassungsgerichtliche Rechtsprechung unterscheidet dort insbesondere vorhandene, für die Verteidigung relevante Informationen von einer allgemeinen Verpflichtung, bisher nicht gespeicherte Daten erst zu erzeugen. Auch die spätere Entscheidung 2 BvR 1167/20 vom 20. Juni 2023 betont die Grenzen eines auf vorhandene Informationen bezogenen Zugangs. [R05]</w:t>
      </w:r>
    </w:p>
    <w:p>
      <w:r>
        <w:t>Für den Rundfunkstreit folgt daraus kein unmittelbarer Anspruch aus dem Ordnungswidrigkeitenrecht. Übertragbar ist allenfalls die präzise Frage nach einer vorhandenen Quelle und ihrer Bedeutung für eine konkrete Überprüfung. Das Einscannen eines vorhandenen Beschlusses, die Einsicht in ein gespeichertes Video und die Herstellung einer neuen, wissenschaftlich kodierten Gesamtanalyse sind unterschiedliche Leistungen. Sie werden in den Begehren getrennt.</w:t>
      </w:r>
    </w:p>
    <w:p>
      <w:r>
        <w:t>Das Gleiche gilt für Datenschutzrechte. Ein Anspruch auf Auskunft über eigene personenbezogene Daten ist nicht mit einem Anspruch auf sämtliche fremden Programminhalte, redaktionellen Quellen oder Organisationsakten identisch. Die Klägerseite verzichtet auf eine solche pauschale Gleichsetzung. Soweit ein eigener Beschwerdevorgang personenbezogene Daten der Klägerseite enthält, ist ein darauf bezogener datenschutzrechtlicher Anspruch separat zu bestimmen; er ersetzt nicht automatisch das gesamte hier benötigte wissenschaftliche Material.</w:t>
      </w:r>
    </w:p>
    <w:p>
      <w:pPr>
        <w:pStyle w:val="Heading2"/>
      </w:pPr>
      <w:r>
        <w:t>4.9 Öffentliche Mediathek und wissenschaftlicher Archivzugang</w:t>
      </w:r>
    </w:p>
    <w:p>
      <w:r>
        <w:t>Die ARD beschreibt einen Zugang ihrer Archive für Wissenschaft und Forschung. Dies wird in der Klage als tatsächlich angebotener Weg berücksichtigt. Eine nicht mehr frei abrufbare Mediatheksausgabe ist deshalb nicht allein schon ein Beweis für die vollständige Unzugänglichkeit des Materials. Zu prüfen sind die konkrete Anstalt, der vorhandene Bestand und die Bedingungen des Forschungszugangs. [E27]</w:t>
      </w:r>
    </w:p>
    <w:p>
      <w:r>
        <w:t>Die O-Ton-Dokumentation zeigt, dass öffentliche Abrufwege große Korpora bestimmter Formate erschließen konnten, bei anderen Formaten aber nur kleine Teilbestände. Diese konkrete Verschiedenheit ersetzt die frühere pauschale Aussage, sämtliche relevanten Daten befänden sich ausschließlich im Besitz der Anstalten. Der verbleibende Zugangskonflikt betrifft eine bestimmte erforderliche Ergänzung, nicht eine angenommene totale Informationssperre.</w:t>
      </w:r>
    </w:p>
    <w:p>
      <w:r>
        <w:t>Eine Zugangsbeschränkung ist nach ihrem Inhalt zu unterscheiden: nicht vorhandener Bestand, Rechteklärung, Zugang nur vor Ort, Gebührenangebot, beschränkte wissenschaftliche Nutzung, technische Abrufstörung oder ausdrückliche Ablehnung. Ein Angebot ist nicht schon deshalb unbrauchbar, weil es nicht dem zuerst gewünschten Download entspricht. Umgekehrt ist ein nur theoretisch genannter Archivweg kein Beleg, dass der bestimmte Bestand tatsächlich erreichbar war. Der individuelle Verlauf wird anhand der wirklichen Korrespondenz dokumentiert.</w:t>
      </w:r>
    </w:p>
    <w:p>
      <w:r>
        <w:t>Die konkrete Anfrage braucht deshalb Angaben zum Format, zum Zeitraum und zum benötigten Datentyp. Für BR24 kann beispielsweise nach den gespeicherten vollständigen 18:30-Uhr-Ausgaben und einem vorhandenen Bestandsverzeichnis im fehlenden historischen Jahresfenster gefragt werden. Ein solches Ersuchen legt keinen aktuellen Programmfehler fest, sondern klärt die Basis einer genau abgegrenzten Untersuchung.</w:t>
      </w:r>
    </w:p>
    <w:p>
      <w:pPr>
        <w:pStyle w:val="Heading2"/>
      </w:pPr>
      <w:r>
        <w:t>4.10 Datenarten und aus dem Material abgeleitete Erkenntniszwecke</w:t>
      </w:r>
    </w:p>
    <w:p>
      <w:r>
        <w:t>Die folgenden Bestände werden begrifflich getrennt. Der Bezug zu den vorhandenen Quellen macht erkennbar, weshalb sie nicht beliebig ausgewählt sind. Die Tabelle ist ein sachliches Auswahlregister für das Verfahren, keine pauschale Addition selbständiger Herausgabeklagen.</w:t>
      </w:r>
    </w:p>
    <w:tbl>
      <w:tblPr>
        <w:tblW w:type="auto" w:w="0"/>
        <w:jc w:val="center"/>
        <w:tblLayout w:type="fixed"/>
        <w:tblLook w:firstColumn="1" w:firstRow="1" w:lastColumn="0" w:lastRow="0" w:noHBand="0" w:noVBand="1" w:val="04A0"/>
      </w:tblPr>
      <w:tblGrid>
        <w:gridCol w:w="850"/>
        <w:gridCol w:w="2835"/>
        <w:gridCol w:w="2778"/>
        <w:gridCol w:w="2494"/>
      </w:tblGrid>
      <w:tr>
        <w:trPr>
          <w:tblHeader/>
          <w:cantSplit/>
        </w:trPr>
        <w:tc>
          <w:tcPr>
            <w:tcW w:type="dxa" w:w="850"/>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ID</w:t>
            </w:r>
          </w:p>
        </w:tc>
        <w:tc>
          <w:tcPr>
            <w:tcW w:type="dxa" w:w="2835"/>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Bestimmter Bestand</w:t>
            </w:r>
          </w:p>
        </w:tc>
        <w:tc>
          <w:tcPr>
            <w:tcW w:type="dxa" w:w="2778"/>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Erkenntniszweck</w:t>
            </w:r>
          </w:p>
        </w:tc>
        <w:tc>
          <w:tcPr>
            <w:tcW w:type="dxa" w:w="249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Bekannter Anknüpfungspunkt</w:t>
            </w:r>
          </w:p>
        </w:tc>
      </w:tr>
      <w:tr>
        <w:trPr>
          <w:cantSplit/>
        </w:trPr>
        <w:tc>
          <w:tcPr>
            <w:tcW w:type="dxa" w:w="850"/>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D-A</w:t>
            </w:r>
          </w:p>
        </w:tc>
        <w:tc>
          <w:tcPr>
            <w:tcW w:type="dxa" w:w="283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Sendelisten und vorhandene Bestandsnachweise im individuellen Programmfenster</w:t>
            </w:r>
          </w:p>
        </w:tc>
        <w:tc>
          <w:tcPr>
            <w:tcW w:type="dxa" w:w="277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Abdeckung und Ausfallmuster einer repräsentativen Auswahl bestimmen</w:t>
            </w:r>
          </w:p>
        </w:tc>
        <w:tc>
          <w:tcPr>
            <w:tcW w:type="dxa" w:w="249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S08 dokumentiert begrenzte Regionalverfügbarkeit; E27 alternative Archive</w:t>
            </w:r>
          </w:p>
        </w:tc>
      </w:tr>
      <w:tr>
        <w:trPr>
          <w:cantSplit/>
        </w:trPr>
        <w:tc>
          <w:tcPr>
            <w:tcW w:type="dxa" w:w="850"/>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D-B</w:t>
            </w:r>
          </w:p>
        </w:tc>
        <w:tc>
          <w:tcPr>
            <w:tcW w:type="dxa" w:w="283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Vorhandene veröffentlichte Beitragsfassungen / Korrekturen zu F01</w:t>
            </w:r>
          </w:p>
        </w:tc>
        <w:tc>
          <w:tcPr>
            <w:tcW w:type="dxa" w:w="277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Wortlaut, Zeitpunkt und Umfang der Abhilfe abgleichen</w:t>
            </w:r>
          </w:p>
        </w:tc>
        <w:tc>
          <w:tcPr>
            <w:tcW w:type="dxa" w:w="2494"/>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E21 benennt Sendung, Fehler und Reaktionen</w:t>
            </w:r>
          </w:p>
        </w:tc>
      </w:tr>
      <w:tr>
        <w:trPr>
          <w:cantSplit/>
        </w:trPr>
        <w:tc>
          <w:tcPr>
            <w:tcW w:type="dxa" w:w="850"/>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D-C</w:t>
            </w:r>
          </w:p>
        </w:tc>
        <w:tc>
          <w:tcPr>
            <w:tcW w:type="dxa" w:w="283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Verfahrenseintrag, Stellungnahme und Ergebnis zu F02</w:t>
            </w:r>
          </w:p>
        </w:tc>
        <w:tc>
          <w:tcPr>
            <w:tcW w:type="dxa" w:w="277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Aus gespeicherter Eingabe eine Ergebniszuordnung herstellen</w:t>
            </w:r>
          </w:p>
        </w:tc>
        <w:tc>
          <w:tcPr>
            <w:tcW w:type="dxa" w:w="249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E20 listet konkretes Mehrfachbeschwerdeverfahren</w:t>
            </w:r>
          </w:p>
        </w:tc>
      </w:tr>
      <w:tr>
        <w:trPr>
          <w:cantSplit/>
        </w:trPr>
        <w:tc>
          <w:tcPr>
            <w:tcW w:type="dxa" w:w="850"/>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D-D</w:t>
            </w:r>
          </w:p>
        </w:tc>
        <w:tc>
          <w:tcPr>
            <w:tcW w:type="dxa" w:w="283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Vorhandene Eingangsgruppen- und Ergebnisunterlagen zu F03</w:t>
            </w:r>
          </w:p>
        </w:tc>
        <w:tc>
          <w:tcPr>
            <w:tcW w:type="dxa" w:w="277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Zähleinheit, Zugang und Reaktion prüfen</w:t>
            </w:r>
          </w:p>
        </w:tc>
        <w:tc>
          <w:tcPr>
            <w:tcW w:type="dxa" w:w="2494"/>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D01 m-6tzi4x; S03 referiert Halbjahresbericht</w:t>
            </w:r>
          </w:p>
        </w:tc>
      </w:tr>
      <w:tr>
        <w:trPr>
          <w:cantSplit/>
        </w:trPr>
        <w:tc>
          <w:tcPr>
            <w:tcW w:type="dxa" w:w="850"/>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D-E</w:t>
            </w:r>
          </w:p>
        </w:tc>
        <w:tc>
          <w:tcPr>
            <w:tcW w:type="dxa" w:w="283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Tatsächlich vorhandene Untertitel / Metadaten für eine begrenzte Stichprobe</w:t>
            </w:r>
          </w:p>
        </w:tc>
        <w:tc>
          <w:tcPr>
            <w:tcW w:type="dxa" w:w="277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Erkennungsfehler und historische Zuordnung untersuchen</w:t>
            </w:r>
          </w:p>
        </w:tc>
        <w:tc>
          <w:tcPr>
            <w:tcW w:type="dxa" w:w="249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S06-S08 mit bezeichneten Verfahren; kein Anspruch auf neue Transkripterstellung</w:t>
            </w:r>
          </w:p>
        </w:tc>
      </w:tr>
    </w:tbl>
    <w:p>
      <w:pPr>
        <w:spacing w:after="0"/>
      </w:pPr>
    </w:p>
    <w:p>
      <w:r>
        <w:t>Für bereits veröffentlichte Berichte genügt zunächst die Beschaffung der benannten Originalfassung. Für eine gegebene Eingabe kann die vorhandene Zuordnungsinformation oder Antwort genügen. Erst wenn sich aus einem gesicherten Befund eine weitergehende erhebliche Frage ergibt, ist über zusätzliche Unterlagen zu entscheiden. Die Klägerseite verlangt damit eine sachgerechte Staffelung der Aufklärung und nicht die sofortige Herausgabe aller internen Programmevaluationen.</w:t>
      </w:r>
    </w:p>
    <w:p>
      <w:r>
        <w:t>Die Frage, ob ein neues Dokument erstellt werden müsste, wird vor einer Vorlageanordnung geklärt. Eine bestehende Standardauswertung kann anders zu behandeln sein als eine individuell neu zu programmierende Analyse. Die Mitteilung, dass ein bestimmter Bestand nicht vorhanden ist, ist eine andere Antwort als die Verweigerung vorhandener Unterlagen. Die Klägerseite hält diese Unterschiede ausdrücklich offen für die tatsächliche Stellungnahme der informationshaltenden Stelle.</w:t>
      </w:r>
    </w:p>
    <w:p>
      <w:pPr>
        <w:pStyle w:val="Heading2"/>
      </w:pPr>
      <w:r>
        <w:t>4.11 Konkreter Beweisanstoß B1: technische Integrität und Zähllogik</w:t>
      </w:r>
    </w:p>
    <w:p>
      <w:r>
        <w:t>Als belegte technische Ausgangstatsache wird vorgetragen: Die unter D01 bezeichnete Datei enthält 4.086 Datensätze mit jeweils unterschiedlicher Beschwerde-ID; die darin enthaltenen numerischen Felder ergeben 118.627 Teilungen und 3.329 Rundfunkratsinformationen. Die Dateiidentität, Auswahlregeln und Rechenschritte sind in D03 dokumentiert. Zum Nachweis werden die Datei in geeigneter gesicherter Form und das reproduzierbare Auswertungsprotokoll angeboten.</w:t>
      </w:r>
    </w:p>
    <w:p>
      <w:r>
        <w:t>Sollte die rechnerische Richtigkeit bestritten werden, wird eine auf diese konkrete Rechenfrage beschränkte Nachprüfung angeregt. Eine solche Prüfung verlangt weder eine materielle Bewertung aller Beschwerden noch eine Auslegung journalistischer Standards. Davon getrennt bleibt die technische Ereignisdefinition: Welche Vorgänge erzeugten eine Teilung oder eine Rundfunkratsinformation, und wie wurden Fehler, Mehrfachvorgänge und nachträgliche Änderungen behandelt? Hierzu sind die vorhandene Exportbeschreibung und Angaben der datenverantwortlichen Person erheblich.</w:t>
      </w:r>
    </w:p>
    <w:p>
      <w:r>
        <w:t>Die Klägerseite bietet keine erfundene eidesstattliche Erklärung und keine noch nicht eingeholte Aussage an. Die datenverantwortliche Person ist vor einer förmlichen Benennung mit Name und ladungsfähiger Anschrift in der eigenen Anlagenverwaltung zu erfassen. Der Beweisgegenstand selbst ist bereits abschließend bezeichnet: Identität, rechnerische Summen und technische Bedeutung der gespeicherten Felder, nicht die Wahrheit sämtlicher Beschwerdevorwürfe.</w:t>
      </w:r>
    </w:p>
    <w:p>
      <w:pPr>
        <w:pStyle w:val="Heading2"/>
      </w:pPr>
      <w:r>
        <w:t>4.12 Konkreter Beweisanstoß B2: ZDF-Fallgruppe heute journal</w:t>
      </w:r>
    </w:p>
    <w:p>
      <w:r>
        <w:t>Als durch den Export und die öffentliche Ergebnisquelle konkret unterlegte Tatsachen werden vorgetragen: Zu der Sendung heute journal vom 15. Februar 2026 sind die zehn in Abschnitt 3.10 bezeichneten Plattformvorgänge gespeichert. Der ZDF-Fernsehrat veröffentlichte am 19. Juni 2026 eine Mitteilung zum Verfahren wegen der Bildmaterialverwendung in dieser Sendung und beschrieb Fehler sowie bereits erfolgte Abhilfe. Die Quellen werden mit Datum, Titel und Fundstelle angeboten. [D02; E21]</w:t>
      </w:r>
    </w:p>
    <w:p>
      <w:r>
        <w:t>Die zusätzliche bestimmte Frage betrifft die Verfahrenszuordnung, nicht die Suche nach einem erst noch zu entdeckenden Fehler: Welche der konkret bezeichneten Eingaben wurden im bekannten Beschwerdeverfahren als Einzel- oder Mehrfacheingabe erfasst und welche vorhandene Antwort ist ihnen zugeordnet? Soweit eine eigene Eingabe des Klägers betroffen ist, ergibt sich deren Wortlaut und Zugang aus seiner Individualanlage. Bei fremden Vorgängen wird eine anonymisierte Zuordnung oder vorhandene Gruppenmitteilung erbeten; ein Anspruch auf fremde personenbezogene Daten wird nicht behauptet.</w:t>
      </w:r>
    </w:p>
    <w:p>
      <w:r>
        <w:t>Für die Programmeinwendung kann die Frage relevant sein, wie ein bereits dokumentierter Fehler intern und gegenüber Beschwerdeführenden behandelt wurde. Für Projekt 51 kann sie nur relevant sein, soweit sie mit dem dort behaupteten eigenen Zugangskonflikt verbunden ist. Ein ZDF-Vorgang begründet nicht allein eine Pflicht der beklagten Landesrundfunkanstalt, über fremde interne Akten zu verfügen. Eine gerichtliche Auskunft bei einer anderen Stelle und die Passivlegitimation für einen materiellen Anspruch werden nicht gleichgesetzt.</w:t>
      </w:r>
    </w:p>
    <w:p>
      <w:pPr>
        <w:pStyle w:val="Heading2"/>
      </w:pPr>
      <w:r>
        <w:t>4.13 Konkreter Beweisanstoß B3: bekannte Verfahrensunterlagen zu F02 und F03</w:t>
      </w:r>
    </w:p>
    <w:p>
      <w:r>
        <w:t>Zur Sendung Schlagabtausch vom 6. Februar 2025 wird die Beschaffung der im öffentlichen ZDF-Verzeichnis bereits bezeichneten Stellungnahme und Ergebnisentscheidung angeregt. Die gespeicherten Plattformvorgänge sind in D02 identifiziert. Gegenstand ist der vorhandene dokumentierte Umgang mit den konkreten Beanstandungen, insbesondere Publikums- und Moderationsfragen. Es wird nicht behauptet, deren Wahrheit stehe allein aufgrund der eingegangenen Kritik fest. [E20; D02]</w:t>
      </w:r>
    </w:p>
    <w:p>
      <w:r>
        <w:t>Zu Nuhr im Ersten vom 29. Mai 2025 wird der Originalbericht erbeten, den die September-Fassung als rbb-Halbjahresbericht Januar bis Juni 2025 zitiert, sowie die vorhandene Antwort beziehungsweise Entscheidung zur darin bezeichneten Eingangsgruppe. Die Ausgangstatsache m-6tzi4x mit 398 gespeicherten Teilungen ist technisch nachgewiesen; die Angabe von rund 400 anstaltsseitigen Eingängen bleibt bis zur Originalprüfung als referierter Berichtswert gekennzeichnet. Die verlangte Erkenntnis ist die Harmonisierung dieser Zähleinheiten und die Behandlung des bestimmten Vorgangs. [S03, Q11; D02]</w:t>
      </w:r>
    </w:p>
    <w:p>
      <w:r>
        <w:t>Diese beiden Aufklärungsansätze beziehen sich auf bekannte Veröffentlichungen und bekannte Eingangsgruppen. Sie sind enger als die Forderung, alle Antwortakten sämtlicher Jahre offenzulegen. Ob sie im konkreten Prozess erheblich sind, bestimmt sich nach dem dortigen Zeitraum und Rechtsschutzziel. Die Klägerseite beantragt keine tatsächlich unmögliche Vorlage und bittet bei fehlendem Bestand um dessen klare Mitteilung.</w:t>
      </w:r>
    </w:p>
    <w:p>
      <w:pPr>
        <w:pStyle w:val="Heading2"/>
      </w:pPr>
      <w:r>
        <w:t>4.14 Konkreter Beweisanstoß B4: fachliche Tragfähigkeit bestimmter Studienergebnisse</w:t>
      </w:r>
    </w:p>
    <w:p>
      <w:r>
        <w:t>Für die O-Ton-Dokumentation ist die bestimmte fachliche Frage, ob die beiden beschriebenen Erkennungswege die behaupteten O-Ton-Einbindungen mit hinreichend vergleichbarer Zuverlässigkeit erfassen. Dazu sind die berichteten Auswahlregeln, eine nach Format geschichtete Kontrollmenge und die dazugehörigen Ursprungsvideos heranzuziehen. Die Frage verlangt keine rechtliche Bewertung der gesamten Programmvielfalt. Sie betrifft die Tragfähigkeit der bestimmten in Abschnitt 2 wiedergegebenen Zählergebnisse. [S08]</w:t>
      </w:r>
    </w:p>
    <w:p>
      <w:r>
        <w:t>Für Glashaus ist die bestimmte fachliche Frage, wie Segmenterkennung, Referenzprogrammwechsel und Null-Kodierung den berichteten Langzeitbefund beeinflussen. Eine unabhängige menschliche Kontrollkodierung und eine zeitlich passende Teilmengenbildung sind konkrete Untersuchungsaufgaben. Die Eigenschaft, eine politische Aussage als gut oder schlecht zu bewerten, wird nicht zum Gutachterauftrag. Es geht um die Eignung des Messverfahrens für die beschriebene Auswahl- und Bandbreitenfrage. [S07]</w:t>
      </w:r>
    </w:p>
    <w:p>
      <w:r>
        <w:t>Für Müller ist die bestimmte Frage, ob die angegebene Kategorienzuordnung und die behauptete Abwesenheit beziehungsweise eingeschränkte Darstellung bestimmter Gegenpositionen im benannten historischen Teilkorpus anhand der dokumentierten Sendungen nachvollzogen werden können. Die Abweichung zwischen 34 Prozent und den rechnerischen 36,0 Prozent ist dabei offen aufzuklären. Eine fachmedizinische Gesamtbewertung sämtlicher in der Stellungnahme referierten Behauptungen wird nicht ohne gesonderten Bedarf als medienwissenschaftliche Frage ausgegeben. [S06]</w:t>
      </w:r>
    </w:p>
    <w:p>
      <w:r>
        <w:t>Die Klägerseite regt an, zunächst die Ersteller zu vorhandenen Daten und ihren eigenen Arbeitsschritten zu befragen beziehungsweise die benannten Originaldateien heranzuziehen. Über einen gerichtlichen Sachverständigen, seine Fachkunde und den genauen Auftrag entscheidet das Gericht. Eine Person wird nicht allein aufgrund ihrer Nennung in einem früheren Musterschreiben als bereits zur Aussage bereit oder sachkundig für jede Teilfrage dargestellt.</w:t>
      </w:r>
    </w:p>
    <w:p>
      <w:pPr>
        <w:pStyle w:val="Heading2"/>
      </w:pPr>
      <w:r>
        <w:t>4.15 Beweisantrag, Beweisanregung und Ausforschung</w:t>
      </w:r>
    </w:p>
    <w:p>
      <w:r>
        <w:t>Die bezeichneten Beweisanstöße sind nach ihrer Funktion zu unterscheiden. Die Vorlage einer vorhandenen Urkunde belegt deren Inhalt. Eine Auskunft klärt bestimmte Angaben einer informationshaltenden Stelle. Ein Sachverständiger beantwortet eine fachlich abgrenzbare Frage. Die rechtliche Schlussfolgerung, ob die verfassungsrechtliche Rechtfertigung einer Beitragspflicht entfällt, bleibt Sache des Gerichts und kann nicht als Tatsachenbehauptung an einen Zeugen ausgelagert werden.</w:t>
      </w:r>
    </w:p>
    <w:p>
      <w:r>
        <w:t>Der Beschluss des Bundesverwaltungsgerichts 2 B 36.24 vom 15. Januar 2025 behandelt die Grenze von Beweisanträgen ohne hinreichenden Tatsachenkern. Er verlangt greifbare Anhaltspunkte und berücksichtigt zugleich, dass die Anforderungen von der eigenen Erkenntnismöglichkeit und Verfahrenslage abhängen. Die Entscheidung wird hier nicht als Rundfunkentscheidung zitiert, sondern als allgemeiner Maßstab für die Begrenzung von Beweistatsache und bloßem Informationswunsch. [R07, insbesondere Rn. 23-24]</w:t>
      </w:r>
    </w:p>
    <w:p>
      <w:r>
        <w:t>Die Klägerseite legt deshalb zu jedem Begehren dar, was bereits bekannt ist. Bei B2 ist der Fehler nicht erst zu suchen; die Ergebnisquelle benennt ihn. Bei B3 ist nicht unbestimmt, ob es irgendwelche Unterlagen geben könnte; ein bestimmter Bericht beziehungsweise Verfahrenseintrag ist bezeichnet. Bei B4 ist die Aufgabe an ein vorliegendes Messverfahren und seinen berichteten Befund gebunden. Gleichwohl ersetzt diese Konkretisierung nicht die Entscheidungserheblichkeit für den einzelnen Rechtsstreit.</w:t>
      </w:r>
    </w:p>
    <w:p>
      <w:r>
        <w:t>Ein in der mündlichen Verhandlung unbedingt gestellter Beweisantrag ist nach § 86 Abs. 2 VwGO anders zu behandeln als eine schriftsätzliche Aufklärungsanregung oder ein Hilfsbeweisantrag. Die vorliegende Fassung erklärt deshalb nicht automatisch jede Quellenangabe zu einem unbedingt gestellten Beweisantrag. Vor einer förmlichen Antragstellung sind das bestimmte Beweisthema, das tatsächlich verfügbare Beweismittel und die prozessuale Lage zu benennen. Eine Bitte um Kosteninformation beseitigt keine gesetzlichen Kostenfolgen. [R02]</w:t>
      </w:r>
    </w:p>
    <w:p>
      <w:pPr>
        <w:pStyle w:val="Heading2"/>
      </w:pPr>
      <w:r>
        <w:t>4.16 Schutzbelange und verhältnismäßige Zugangsformen</w:t>
      </w:r>
    </w:p>
    <w:p>
      <w:r>
        <w:t>Der Anspruch auf sachgerechte Aufklärung rechtfertigt keine uneingeschränkte Offenlegung vertraulicher Quellen, fremder personenbezogener Daten oder jeder redaktionellen Vorüberlegung. Die Klägerseite grenzt die Begehren daher zunächst auf bereits veröffentlichte Inhalte, vorhandene Bestandsverzeichnisse und bestimmte Ergebnisunterlagen ein. Wo Rechte Dritter berührt sind, sind anonymisierte Auszüge, Einsicht vor Ort, eine begrenzte wissenschaftliche Nutzung oder eine andere geeignete Form zu prüfen. [R02, § 99; R01, Rn. 37-40]</w:t>
      </w:r>
    </w:p>
    <w:p>
      <w:r>
        <w:t>Mildere Zugangsformen müssen den konkreten Erkenntniszweck noch erfüllen. Eine bloße allgemeine Zusammenfassung kann etwa eine Frage nach dem Wortlaut einer Korrektur offenlassen. Umgekehrt kann ein vorhandenes Inhaltsverzeichnis genügen, um eine Korpuslücke abzugrenzen, ohne sofort alle Videos zu übertragen. Die Bewertung ist bestandsbezogen vorzunehmen. Die Klägerseite verlangt weder stets den maximalen Zugang noch akzeptiert sie jede beliebige Ersatzinformation als gleichwertig.</w:t>
      </w:r>
    </w:p>
    <w:p>
      <w:r>
        <w:t>Eine Bitte um Sicherung bestimmter Belege setzt den benannten Bestand, Zeitraum und Verwendungszweck voraus. Das Ausbleiben einer Antwort setzt allgemeine Löschfristen nicht automatisch außer Kraft. Eine Entfernung aus einer Mediathek beweist nicht die Löschung im Archiv. Ein Beweisvereitelungsvorwurf erfordert zusätzliche Tatsachen zum Bestand, zu einer einschlägigen Pflicht und zum tatsächlichen Ablauf. Dieser Vorwurf wird in dieser Fassung nicht schematisch erhoben.</w:t>
      </w:r>
    </w:p>
    <w:p>
      <w:pPr>
        <w:pStyle w:val="Heading2"/>
      </w:pPr>
      <w:r>
        <w:t>4.17 Quellenregister, Archiv und tatsächliche Akteneinführung</w:t>
      </w:r>
    </w:p>
    <w:p>
      <w:r>
        <w:t>Die Argumentation steht in den vier Abschnitten. Die zugrunde liegenden Quellen bleiben eigenständig prüfbar. Das Belegregister bezeichnet für jeden Nachweis Titel, Fassung, Fundstelle, Erkenntnisfunktion und tatsächlichen Einreichungsstatus. Eine gemeinsame öffentliche Quellenbibliothek dient der Auffindbarkeit und Versionierung. Sie macht nicht automatisch sämtliche dort enthaltenen Dokumente zum Inhalt jeder Gerichtsakte.</w:t>
      </w:r>
    </w:p>
    <w:p>
      <w:r>
        <w:t>Nach § 86 Abs. 5 VwGO sind in Bezug genommene Urkunden beziehungsweise elektronische Dokumente grundsätzlich beizufügen, auch auszugsweise. Bei bereits bekannten oder sehr umfangreichen Unterlagen kann unter den gesetzlichen Voraussetzungen eine genaue Bezeichnung mit dem Angebot der Einsicht bei Gericht genügen. Die Klägerseite macht hiervon nur für die im Register konkret bezeichneten Unterlagen Gebrauch. Ein pauschaler Satz Alles Weitere steht im Internet ersetzt diese Bezeichnung nicht. [R02]</w:t>
      </w:r>
    </w:p>
    <w:p>
      <w:r>
        <w:t>Für jede hier verwendete Datei wird zwischen dem unberührten Original, einer technischen Lesefassung und einem neu erzeugten Auszug unterschieden. Eine neue PDF-Konvertierung hat eine eigene Prüfsumme. Werden Zahlen aus einer Quelle nachgerechnet, wird das als eigene Nachrechnung kenntlich gemacht. Dadurch kann die Gegenseite dieselbe Fassung prüfen und zu den entscheidungserheblichen Tatsachen Stellung nehmen. [R02, § 108 Abs. 2]</w:t>
      </w:r>
    </w:p>
    <w:p>
      <w:pPr>
        <w:pStyle w:val="Heading2"/>
      </w:pPr>
      <w:r>
        <w:t>4.18 Umgang mit früheren Ablehnungen und gerichtlichen Textbausteinen</w:t>
      </w:r>
    </w:p>
    <w:p>
      <w:r>
        <w:t>Die eigenen früheren Eingaben und Entscheidungen werden in der Individualanlage gegenübergestellt: damalige konkrete Behauptung, vorgelegter Beleg, gerichtliche Behandlung und nun vorliegende Ergänzung. Eine Entscheidung wird nicht schon deshalb als Gehörsverstoß dargestellt, weil sie ein Beweismittel für unzureichend hält. Maßgeblich ist, ob ein erheblicher Vortrag tatsächlich übergangen oder nach einem unzutreffenden Maßstab behandelt wurde. Der jeweilige Rechtsbehelf und seine Frist sind gesondert zu bestimmen.</w:t>
      </w:r>
    </w:p>
    <w:p>
      <w:r>
        <w:t>Die im Ausgangsmaterial vorgeschlagene Textbausteinanalyse kann gemeinsame Passagen sichtbar machen. Eine hohe Textähnlichkeit beweist aber keine fehlende Einzelfallprüfung. Aussagekräftig wird der Vergleich erst mit dem tatsächlich eingegangenen neuen Vortrag und dessen Entscheidungserheblichkeit. Ein entsprechendes Urteilskorpus ist hier nicht vollständig empirisch ausgewertet worden; eine solche Untersuchung wird nicht lediglich durch ihre Ankündigung als Beweis geführt.</w:t>
      </w:r>
    </w:p>
    <w:p>
      <w:r>
        <w:t>Zu dem von Schmitz behandelten OVG-Beschluss und den Nutzerberichten aus Berlin oder Ansbach gilt Entsprechendes. Ohne passenden Originaltext werden keine dort angeblich tragenden Sätze als eigene Originalauswertung zitiert. Diese Zurückhaltung dient nicht der Reduzierung des Vortrags, sondern seiner Quellentreue. Die tatsächlich gesicherte Rechtsprechung und die hier nachgerechneten Daten werden davon nicht abhängig gemacht. [S09; R01-R03]</w:t>
      </w:r>
    </w:p>
    <w:p>
      <w:pPr>
        <w:pStyle w:val="Heading2"/>
      </w:pPr>
      <w:r>
        <w:t>4.19 Kosten, Fristen und Begrenzung der Sachanträge</w:t>
      </w:r>
    </w:p>
    <w:p>
      <w:r>
        <w:t>Die zusätzliche Länge der Begründung erzeugt nicht allein einen neuen Streitgegenstand. Ein eigenständiger Feststellungs- oder Leistungsantrag kann dagegen den Streitwert und das Kostenrisiko beeinflussen. Die Sachanträge werden deshalb ausschließlich im getrennten Antragsblatt bestimmt. Die Beweisanregungen dienen ihrer Begründung; sie werden nicht unter der Hand als allgemeine Herausgabeklagen formuliert. [R13; R02, §§ 88, 154, 162]</w:t>
      </w:r>
    </w:p>
    <w:p>
      <w:r>
        <w:t>Ein gerichtliches Verfahren kann Gerichtsgebühren, erstattungsfähige gegnerische Kosten, eigene Anwaltskosten und gegebenenfalls Auslagen für Beweiserhebung verursachen. Die Angabe eines einzelnen Gerichtskostenvorschusses ist keine Obergrenze. Eine pauschale Kostenfreiheit nach § 188 VwGO wird für diese programmbezogene Beitragsklage nicht behauptet. Ebenso wenig wird ein Kostenrisiko durch die Bezeichnung Beweisanregung ausgeschlossen.</w:t>
      </w:r>
    </w:p>
    <w:p>
      <w:r>
        <w:t>Offene Auskunftsersuchen, eine angekündigte Studie oder ein paralleler Musterfall hemmen laufende Fristen nicht automatisch. Die Klägerseite beantragt erforderlichenfalls eine konkret begründete Fristverlängerung oder sonstige prozessuale Maßnahme. Ihre Bewilligung darf nicht vorausgesetzt werden. Ein bestehender Antrag wird durch die Verwendung der neuen modularen Begründung nicht stillschweigend zurückgenommen.</w:t>
      </w:r>
    </w:p>
    <w:p>
      <w:pPr>
        <w:pStyle w:val="Heading2"/>
      </w:pPr>
      <w:r>
        <w:t>4.20 Abschließende Verbindung von Tatsachenvortrag und Rechtsfolge</w:t>
      </w:r>
    </w:p>
    <w:p>
      <w:r>
        <w:t>Die Klägerseite ersucht das Gericht, die tatsächlich erschlossenen Untersuchungen und Fallgruppen ihrem jeweiligen Erkenntnisgehalt nach zu würdigen. Der Vortrag ist nicht auf eine abstrakte Unmöglichkeitsbehauptung gestützt: Öffentlich verfügbare Inhalte wurden in den bezeichneten Studien untersucht; der vorhandene Export wurde nachgerechnet; bestimmte Verfahrensausgänge und verbleibende Zuordnungslücken sind benannt. Die weitergehenden Begehren knüpfen an diese Tatsachen an.</w:t>
      </w:r>
    </w:p>
    <w:p>
      <w:r>
        <w:t>Die rechtliche Schlussfolgerung bleibt nach Klageart begrenzt. Bei der Anfechtung ist zu prüfen, ob die vorliegenden und gegebenenfalls weiter erhobenen Erkenntnisse für den bestimmten Zeitraum die verfassungsrechtliche Schwelle erreichen und eine Vorlage nach Art. 100 Abs. 1 GG geboten ist. Bei Projekt 51 ist zunächst zu entscheiden, ob die konkret behauptete eigenständige Rechtsbeziehung feststellungsfähig besteht. Die zweite Frage kann nicht durch die erste ersetzt werden.</w:t>
      </w:r>
    </w:p>
    <w:p>
      <w:r>
        <w:t>Die Klägerseite verlangt damit weder ein politisches Programmurteil nach ihren Präferenzen noch eine schrankenlose Öffnung interner Daten. Sie verlangt die nachvollziehbare Behandlung eines bestimmten, quellenbezogen ausgearbeiteten Vortrags und die rechtliche Entscheidung über die daraus begrenzt hergeleiteten Begehren. Wo Tatsachen noch nicht gesichert sind, werden sie nicht als bereits bewiesen bezeichnet. Wo konkrete Erkenntnisse vorliegen, werden sie nicht durch einen pauschalen Hinweis auf ihre Herkunft oder den Umfang des Gesamtprogramms aus der Prüfung ausgeschieden.</w:t>
      </w:r>
    </w:p>
    <w:sectPr w:rsidR="00FC693F" w:rsidRPr="0006063C" w:rsidSect="00034616">
      <w:headerReference w:type="default" r:id="rId9"/>
      <w:footerReference w:type="default" r:id="rId10"/>
      <w:pgSz w:w="11906" w:h="16838"/>
      <w:pgMar w:top="1276" w:right="1474" w:bottom="1162" w:left="1474" w:header="595"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fldSimple w:instr="PAGE">
      <w:r>
        <w:t>1</w:t>
      </w:r>
    </w:fldSimple>
    <w:r>
      <w:rPr>
        <w:sz w:val="18"/>
      </w:rPr>
      <w:t xml:space="preserve"> von </w:t>
    </w:r>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40"/>
      <w:pBdr>
        <w:bottom w:val="single" w:sz="4" w:color="CCD4DC"/>
      </w:pBdr>
    </w:pPr>
    <w:r>
      <w:rPr>
        <w:color w:val="536374"/>
        <w:sz w:val="17"/>
      </w:rPr>
      <w:t>Abschnitt 4 | Gemeinsame Begründung | V5 | 04.10.2026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3" w:lineRule="auto" w:after="140"/>
    </w:pPr>
    <w:rPr>
      <w:rFonts w:ascii="Liberation Serif" w:hAnsi="Liberation Serif"/>
      <w:sz w:val="24"/>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200"/>
      <w:outlineLvl w:val="0"/>
    </w:pPr>
    <w:rPr>
      <w:rFonts w:asciiTheme="majorHAnsi" w:eastAsiaTheme="majorEastAsia" w:hAnsiTheme="majorHAnsi" w:cstheme="majorBidi" w:ascii="Liberation Serif" w:hAnsi="Liberation Serif"/>
      <w:b/>
      <w:bCs/>
      <w:color w:val="172F45"/>
      <w:sz w:val="34"/>
      <w:szCs w:val="28"/>
      <w:lang w:val="de-DE"/>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Liberation Serif" w:hAnsi="Liberation Serif"/>
      <w:b/>
      <w:bCs/>
      <w:color w:val="172F45"/>
      <w:sz w:val="26"/>
      <w:szCs w:val="26"/>
      <w:lang w:val="de-DE"/>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Liberation Serif" w:hAnsi="Liberation Serif"/>
      <w:b/>
      <w:bCs/>
      <w:color w:val="172F45"/>
      <w:sz w:val="24"/>
      <w:lang w:val="de-D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Liberation Serif" w:hAnsi="Liberation Serif"/>
      <w:b/>
      <w:color w:val="172F45"/>
      <w:spacing w:val="5"/>
      <w:kern w:val="28"/>
      <w:sz w:val="42"/>
      <w:szCs w:val="52"/>
      <w:lang w:val="de-D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erif" w:hAnsi="Liberation Serif"/>
      <w:b w:val="0"/>
      <w:i/>
      <w:iCs/>
      <w:color w:val="172F45"/>
      <w:spacing w:val="15"/>
      <w:sz w:val="26"/>
      <w:szCs w:val="24"/>
      <w:lang w:val="de-D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Abschnitt 4 | Gemeinsame Begründung</dc:title>
  <dc:subject>Modulare Klage- und Arbeitsfassung V5</dc:subject>
  <dc:creator/>
  <cp:keywords>Beitragsstopper; Projekt 51; V5; 2026-10-04</cp:keywords>
  <dc:description>Ausgearbeitete allgemeine Vorlage. Keine eingereichte oder unterschriebene Klage; individuelle Fallangaben sind einzusetzen.</dc:description>
  <cp:lastModifiedBy/>
  <cp:revision>1</cp:revision>
  <dcterms:created xsi:type="dcterms:W3CDTF">2013-12-23T23:15:00Z</dcterms:created>
  <dcterms:modified xsi:type="dcterms:W3CDTF">2013-12-23T23:15:00Z</dcterms:modified>
  <cp:category/>
</cp:coreProperties>
</file>