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Abschnitt 3</w:t>
      </w:r>
    </w:p>
    <w:p>
      <w:pPr>
        <w:pStyle w:val="Title"/>
      </w:pPr>
      <w:r>
        <w:t>Programmbeschwerden, Gremienkontrolle und nachgeprüfte Fallgruppen</w:t>
      </w:r>
    </w:p>
    <w:p>
      <w:r>
        <w:t>Dieser Abschnitt verarbeitet das Rundfunkalarm-Gutachten in seiner gerichtlichen Fassung vom 27. Juni 2026 und die ergänzte Fassung vom 13. September 2026. Hinzu tritt eine am 4. Oktober 2026 tatsächlich durchgeführte technische Nachrechnung des vorliegenden Originalexports. Die Auswertung behandelt nicht jede Beschwerde als berechtigt. Sie unterscheidet gespeicherte Vorgänge, nachgewiesene Eingänge, inhaltliche Prüfung und tatsächliche Abhilfe. Der vorhandene Datensatz wird durch bestimmte, nachvollziehbar ausgewählte Fallgruppen mit externen Ergebnisquellen verknüpft.</w:t>
      </w:r>
    </w:p>
    <w:p>
      <w:r>
        <w:t>Die ältere Aussage, im damaligen Material sei keine dokumentierte Korrektur erkennbar gewesen, wird nicht zeitlos fortgeschrieben. Die jetzt erschlossene ZDF-Mitteilung zum heute journal vom 15. Februar 2026 beschreibt Abhilfe zu einer Sendung, zu der auch Rundfunkalarm-Vorgänge vorliegen. Welche einzelnen Plattformbeschwerden diese Abhilfe ausgelöst haben oder im Mehrfachbeschwerdeverfahren behandelt wurden, ist damit noch nicht bewiesen. Gerade diese Unterscheidung zwischen gemeinsamer Sendung, konkretem Eingang und kausalem Erfolg macht den folgenden Vortrag nachprüfbar. [S02; S03; D01-D03; E21]</w:t>
      </w:r>
    </w:p>
    <w:p>
      <w:pPr>
        <w:pStyle w:val="Heading2"/>
      </w:pPr>
      <w:r>
        <w:t>3.1 Rechtliche Funktion: Kontrollweg, aber kein Ersatz jedes gerichtlichen Rechtsschutzes</w:t>
      </w:r>
    </w:p>
    <w:p>
      <w:r>
        <w:t>Programmbeschwerden richten sich auf die Einhaltung von Programmgrundsätzen. Die Aufgaben von Intendanz, Ausschüssen und Rundfunk-, Fernseh- oder Hörfunkräten ergeben sich aus den jeweils geltenden Anstaltsregelungen. Es gibt keinen einheitlichen Schluss, wonach jede über eine private Plattform versandte Nachricht bereits eine zulässige förmliche Programmbeschwerde darstellt. Zu unterscheiden sind allgemeine Kritik, eine konkret begründete Eingabe und eine förmliche Beschwerde nach der einschlägigen Ordnung. [S02, Abschn. B-C; E20]</w:t>
      </w:r>
    </w:p>
    <w:p>
      <w:r>
        <w:t>Die Klägerseite knüpft ihre Programmrüge gleichwohl nicht an die vorherige Erschöpfung einer unbegrenzt wiederholbaren Beschwerdeschleife. Nach R01 kann ein hinreichend substantiierter Einwand gegen die verfassungsrechtliche Rechtfertigung des Beitrags nicht lediglich auf Programmbeschwerden verwiesen werden. Die Gremien haben eine andere Aufgabe als das Verwaltungsgericht, das über die konkrete Beitragsbelastung entscheidet. Ein möglicher Kontrollbefund ergänzt den Programmeinwand; er ersetzt die materielle Schwelle nicht. [R01, Rn. 47]</w:t>
      </w:r>
    </w:p>
    <w:p>
      <w:r>
        <w:t>Für diesen Abschnitt ist deshalb weder die bloße Existenz eines Beschwerdeformulars noch die bloße Unzufriedenheit mit einer Antwort entscheidend. Zu untersuchen ist, ob ein bestimmter Vorwurf auf Grundlage des bestimmten Beitrags behandelt wurde, welche Begründung die Entscheidung trägt und welche Folge gegebenenfalls eingetreten ist. Eine sachlich begründete Zurückweisung kann ordnungsgemäße Kontrolle sein. Eine dokumentierte Korrektur kann auf einen vorausgegangenen Fehler und zugleich auf funktionierende Abhilfe hinweisen.</w:t>
      </w:r>
    </w:p>
    <w:p>
      <w:pPr>
        <w:pStyle w:val="Heading2"/>
      </w:pPr>
      <w:r>
        <w:t>3.2 Verwendete Originaldatei und tatsächlicher Prüfumfang</w:t>
      </w:r>
    </w:p>
    <w:p>
      <w:r>
        <w:t>Der Originalexport trägt den Namen rundfunkalarm_beschwerden_2026-06-22 (1).csv. Er lag für diese Überarbeitung als Datei vor. Seine SHA-256-Prüfsumme lautet:</w:t>
      </w:r>
    </w:p>
    <w:p>
      <w:r>
        <w:t>b06ec9a54325bd4221b0869f9b9e34b0fcd1f36fc7e1a469d6e9455fc3a5854b</w:t>
      </w:r>
    </w:p>
    <w:p>
      <w:r>
        <w:t>Dieser Wert stimmt mit dem in den Ausgangsgutachten angegebenen Wert überein. Die Datei wurde als semikolongetrennte UTF-8-Datei mit Byte-Order-Mark eingelesen. Nachgerechnet wurden Zeilenanzahl, eindeutige IDs, numerische Summen, Verteilungen nach gespeicherten Kategorien und Datum sowie die drei ausdrücklich bezeichneten Fallgruppen. Das Verfahren und die abgeleiteten Tabellen sind im technischen Nachweis dokumentiert. Es wurden weder neue Beschwerden erzeugt noch unbekannte Ergebnisdaten ergänzt. [D01; D03]</w:t>
      </w:r>
    </w:p>
    <w:p>
      <w:r>
        <w:t>Die technische Prüfung bestätigt 4.086 Zeilen mit 4.086 unterschiedlichen Beschwerde-IDs. Sie ergibt 118.627 gespeicherte Teilungen und 3.329 gespeicherte Rundfunkratsinformationen. 474 Ausgangsvorgänge enthalten mindestens eine solche Gremieninformation. Die Zahlen stammen damit nicht mehr nur aus einer unüberprüften Wiedergabe des früheren Gutachtens. Sie sind aus der hier vorliegenden Datei reproduziert. Ob die gespeicherten Ereignisse jeweils einen erfolgreichen Versand oder Zugang abbilden, ist damit nicht automatisch bestätigt.</w:t>
      </w:r>
    </w:p>
    <w:p>
      <w:r>
        <w:t>Ein Hashwert bezeichnet die Identität der geprüften Datei. Er beweist nicht von selbst die historische Vollständigkeit der Plattformdaten, die Richtigkeit jeder Eingabe oder die Wahrheit der Beschwerde. Die technische Herkunftserklärung des Betreibers bleibt deshalb von dieser Nachrechnung getrennt. Eine vorgefertigte Erklärung zur Datenherkunft wird nicht als bereits unterschrieben behandelt.</w:t>
      </w:r>
    </w:p>
    <w:p>
      <w:pPr>
        <w:pStyle w:val="Heading2"/>
      </w:pPr>
      <w:r>
        <w:t>3.3 Feldbeschreibung: Was der Export enthält und was nicht</w:t>
      </w:r>
    </w:p>
    <w:p>
      <w:r>
        <w:t>Der Export hat siebzehn Felder. Neben ID und Meldungslink stehen Beschwerdedatum, Sender, Medium, Sendungstitel, Ausstrahlung und Freitext. Erfasst sind außerdem Vorwurfs- und Normzuordnungen, Teilungszahlen und Teilungszeitraum, Rundfunkratsinformationen, Ortsangaben sowie Links zur Programmbeschwerde. Für die gerichtlichen Auswertungstabellen werden keine privaten Orts- oder Adressangaben benötigt; sie werden dort nicht wiedergegeben.</w:t>
      </w:r>
    </w:p>
    <w:tbl>
      <w:tblPr>
        <w:tblW w:type="auto" w:w="0"/>
        <w:jc w:val="center"/>
        <w:tblLayout w:type="fixed"/>
        <w:tblLook w:firstColumn="1" w:firstRow="1" w:lastColumn="0" w:lastRow="0" w:noHBand="0" w:noVBand="1" w:val="04A0"/>
      </w:tblPr>
      <w:tblGrid>
        <w:gridCol w:w="1587"/>
        <w:gridCol w:w="3969"/>
        <w:gridCol w:w="3402"/>
      </w:tblGrid>
      <w:tr>
        <w:trPr>
          <w:tblHeader/>
          <w:cantSplit/>
        </w:trPr>
        <w:tc>
          <w:tcPr>
            <w:tcW w:type="dxa" w:w="158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Feldgruppe</w:t>
            </w:r>
          </w:p>
        </w:tc>
        <w:tc>
          <w:tcPr>
            <w:tcW w:type="dxa" w:w="3969"/>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Tatsächlich vorhandene Spalten</w:t>
            </w:r>
          </w:p>
        </w:tc>
        <w:tc>
          <w:tcPr>
            <w:tcW w:type="dxa" w:w="3402"/>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Was daraus nicht folgt</w:t>
            </w:r>
          </w:p>
        </w:tc>
      </w:tr>
      <w:tr>
        <w:trPr>
          <w:cantSplit/>
        </w:trPr>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Identifikation</w:t>
            </w:r>
          </w:p>
        </w:tc>
        <w:tc>
          <w:tcPr>
            <w:tcW w:type="dxa" w:w="396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Beschwerde-ID; Link zur Meldung</w:t>
            </w:r>
          </w:p>
        </w:tc>
        <w:tc>
          <w:tcPr>
            <w:tcW w:type="dxa" w:w="3402"/>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Keine unabhängige Bestätigung des Sendungsinhalts</w:t>
            </w:r>
          </w:p>
        </w:tc>
      </w:tr>
      <w:tr>
        <w:trPr>
          <w:cantSplit/>
        </w:trPr>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Zeit und Angebot</w:t>
            </w:r>
          </w:p>
        </w:tc>
        <w:tc>
          <w:tcPr>
            <w:tcW w:type="dxa" w:w="396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Beschwerdedatum; Sender; Medium; Titel der Sendung; Ausstrahlung</w:t>
            </w:r>
          </w:p>
        </w:tc>
        <w:tc>
          <w:tcPr>
            <w:tcW w:type="dxa" w:w="3402"/>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Keine Garantie fehlerfreier Nutzerangaben</w:t>
            </w:r>
          </w:p>
        </w:tc>
      </w:tr>
      <w:tr>
        <w:trPr>
          <w:cantSplit/>
        </w:trPr>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Inhalt</w:t>
            </w:r>
          </w:p>
        </w:tc>
        <w:tc>
          <w:tcPr>
            <w:tcW w:type="dxa" w:w="396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Beschwerdetext; Vorwuerfe (Kategorien); Betroffene Paragraphen</w:t>
            </w:r>
          </w:p>
        </w:tc>
        <w:tc>
          <w:tcPr>
            <w:tcW w:type="dxa" w:w="3402"/>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Vorwurf ist keine festgestellte Rechtsverletzung</w:t>
            </w:r>
          </w:p>
        </w:tc>
      </w:tr>
      <w:tr>
        <w:trPr>
          <w:cantSplit/>
        </w:trPr>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Aktivität</w:t>
            </w:r>
          </w:p>
        </w:tc>
        <w:tc>
          <w:tcPr>
            <w:tcW w:type="dxa" w:w="396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Anzahl geteilt; Geteilt von; Geteilt bis; Rundfunkrat informiert (Anzahl)</w:t>
            </w:r>
          </w:p>
        </w:tc>
        <w:tc>
          <w:tcPr>
            <w:tcW w:type="dxa" w:w="3402"/>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Kein Einzelzustellnachweis und kein Entscheidungsergebnis</w:t>
            </w:r>
          </w:p>
        </w:tc>
      </w:tr>
      <w:tr>
        <w:trPr>
          <w:cantSplit/>
        </w:trPr>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Weitere Angaben</w:t>
            </w:r>
          </w:p>
        </w:tc>
        <w:tc>
          <w:tcPr>
            <w:tcW w:type="dxa" w:w="396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PLZ; Ort; Links zur Programmbeschwerde</w:t>
            </w:r>
          </w:p>
        </w:tc>
        <w:tc>
          <w:tcPr>
            <w:tcW w:type="dxa" w:w="3402"/>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Kein eigenes strukturiertes Antwort- oder Abhilfefeld</w:t>
            </w:r>
          </w:p>
        </w:tc>
      </w:tr>
    </w:tbl>
    <w:p>
      <w:pPr>
        <w:spacing w:after="0"/>
      </w:pPr>
    </w:p>
    <w:p>
      <w:r>
        <w:t>Es gibt keine eigenen strukturierten Spalten für Inhalt und Datum einer Antwort, Zulässigkeitsentscheidung, Gremienbeschluss, Korrektur oder sonstige Abhilfe. Aus dem Fehlen solcher Spalten folgt nicht, dass in Freitexten oder verlinkten Unterlagen keinerlei Antworten vorhanden wären. Es folgt aber, dass eine Erfolgsquote nicht durch einfaches Summieren einer vorhandenen Ergebnisspalte gewonnen werden kann. Für eine solche Quote ist eine zusätzliche, dokumentierte Zuordnung der Ergebnisquellen erforderlich.</w:t>
      </w:r>
    </w:p>
    <w:p>
      <w:r>
        <w:t>Im Export sind 1.206 Datensätze mit einem nicht leeren Feld Links zur Programmbeschwerde enthalten. Die bloße Existenz eines Links beweist dessen aktuellen Inhalt und Erreichbarkeit nicht. Sie bezeichnet einen nachvollziehbaren Beschaffungsansatz. Die vollständige systematische Auswertung sämtlicher verlinkter Inhalte ist nicht Teil der hier durchgeführten technischen Nachrechnung. Die drei nachfolgend ausgewählten Fallgruppen sind gezielte dokumentarische Vertiefungen, keine als Zufallsauswahl ausgegebene Vollerhebung aller Antworten. [D03]</w:t>
      </w:r>
    </w:p>
    <w:p>
      <w:pPr>
        <w:pStyle w:val="Heading2"/>
      </w:pPr>
      <w:r>
        <w:t>3.4 Zähleinheiten und die Gefahr der Mehrfachzählung</w:t>
      </w:r>
    </w:p>
    <w:p>
      <w:r>
        <w:t>Eine Beschwerde-ID bezeichnet einen Datensatz, nicht zwingend einen eigenständigen Programmfehler. Mehrere Datensätze können dieselbe Sendung und denselben Text betreffen. Eine Teilung ist wiederum ein anderer Vorgang als die erstmalige Anlage einer Beschwerde. Eine Gremieninformation kann mehrfach auf denselben Ausgangsvorgang bezogen sein. Die vier Größen Datensätze, Sendungsanlässe, Teilungen und Gremieninformationen müssen deshalb getrennt bleiben.</w:t>
      </w:r>
    </w:p>
    <w:p>
      <w:r>
        <w:t>Die technische Prüfung ergab 45 Gruppen mit exakt identischem, nach Entfernung äußerer Leerzeichen verglichenem Beschwerdetext. Gegenüber einer einmaligen Zählung jedes dieser Texte entstehen 191 zusätzliche Zeilen. Dies ist keine Behauptung, alle diese Vorgänge seien rechtsmissbräuchlich oder inhaltsgleich in jeder anderen Spalte. Es zeigt, dass 4.086 eindeutige IDs nicht 4.086 unabhängigen inhaltlichen Beobachtungen gleichgesetzt werden dürfen. Leere Beschwerdetexte wurden in diesem Export nicht gefunden. [D03]</w:t>
      </w:r>
    </w:p>
    <w:tbl>
      <w:tblPr>
        <w:tblW w:type="auto" w:w="0"/>
        <w:jc w:val="center"/>
        <w:tblLayout w:type="fixed"/>
        <w:tblLook w:firstColumn="1" w:firstRow="1" w:lastColumn="0" w:lastRow="0" w:noHBand="0" w:noVBand="1" w:val="04A0"/>
      </w:tblPr>
      <w:tblGrid>
        <w:gridCol w:w="5329"/>
        <w:gridCol w:w="3628"/>
      </w:tblGrid>
      <w:tr>
        <w:trPr>
          <w:tblHeader/>
          <w:cantSplit/>
        </w:trPr>
        <w:tc>
          <w:tcPr>
            <w:tcW w:type="dxa" w:w="5329"/>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Prüfpunkt</w:t>
            </w:r>
          </w:p>
        </w:tc>
        <w:tc>
          <w:tcPr>
            <w:tcW w:type="dxa" w:w="362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Nachrechnung / Befund</w:t>
            </w:r>
          </w:p>
        </w:tc>
      </w:tr>
      <w:tr>
        <w:trPr>
          <w:cantSplit/>
        </w:trPr>
        <w:tc>
          <w:tcPr>
            <w:tcW w:type="dxa" w:w="532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Datensätze / verschiedene IDs</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4.086 / 4.086</w:t>
            </w:r>
          </w:p>
        </w:tc>
      </w:tr>
      <w:tr>
        <w:trPr>
          <w:cantSplit/>
        </w:trPr>
        <w:tc>
          <w:tcPr>
            <w:tcW w:type="dxa" w:w="532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Gespeicherte Teilungen</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118.627</w:t>
            </w:r>
          </w:p>
        </w:tc>
      </w:tr>
      <w:tr>
        <w:trPr>
          <w:cantSplit/>
        </w:trPr>
        <w:tc>
          <w:tcPr>
            <w:tcW w:type="dxa" w:w="532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Gespeicherte Gremieninformationen</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3.329</w:t>
            </w:r>
          </w:p>
        </w:tc>
      </w:tr>
      <w:tr>
        <w:trPr>
          <w:cantSplit/>
        </w:trPr>
        <w:tc>
          <w:tcPr>
            <w:tcW w:type="dxa" w:w="532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Zeilen mit Gremieninformation &gt; 0</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474</w:t>
            </w:r>
          </w:p>
        </w:tc>
      </w:tr>
      <w:tr>
        <w:trPr>
          <w:cantSplit/>
        </w:trPr>
        <w:tc>
          <w:tcPr>
            <w:tcW w:type="dxa" w:w="532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Zeilen mit mindestens einem Link im entsprechenden Feld</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1.206</w:t>
            </w:r>
          </w:p>
        </w:tc>
      </w:tr>
      <w:tr>
        <w:trPr>
          <w:cantSplit/>
        </w:trPr>
        <w:tc>
          <w:tcPr>
            <w:tcW w:type="dxa" w:w="532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Leere Ausstrahlungsfelder</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164</w:t>
            </w:r>
          </w:p>
        </w:tc>
      </w:tr>
      <w:tr>
        <w:trPr>
          <w:cantSplit/>
        </w:trPr>
        <w:tc>
          <w:tcPr>
            <w:tcW w:type="dxa" w:w="532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Ausstrahlung laut Eintrag nach Beschwerdezeit</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5</w:t>
            </w:r>
          </w:p>
        </w:tc>
      </w:tr>
      <w:tr>
        <w:trPr>
          <w:cantSplit/>
        </w:trPr>
        <w:tc>
          <w:tcPr>
            <w:tcW w:type="dxa" w:w="532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Exakt gleiche bereinigte Texte</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45 Gruppen; 191 zusätzliche Zeilen jenseits jeweils einer Erstzeile</w:t>
            </w:r>
          </w:p>
        </w:tc>
      </w:tr>
      <w:tr>
        <w:trPr>
          <w:cantSplit/>
        </w:trPr>
        <w:tc>
          <w:tcPr>
            <w:tcW w:type="dxa" w:w="532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Leere Beschwerdetexte</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532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Dashboardabweichungen laut S02</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Teilungen +1; Gremienkennzahl +123; Zähllogik nicht technisch belegt</w:t>
            </w:r>
          </w:p>
        </w:tc>
      </w:tr>
    </w:tbl>
    <w:p>
      <w:pPr>
        <w:spacing w:after="0"/>
      </w:pPr>
    </w:p>
    <w:p>
      <w:r>
        <w:t>Die 474 mit mindestens einer Gremieninformation versehenen Datensätze entsprechen rund 11,6 Prozent aller Ausgangsdatensätze. Der Quotient 3.329 geteilt durch 474 beträgt rund 7,0 gespeicherte Gremieninformationen je solcher Zeile. Diese Rechnung macht gerade sichtbar, warum die Summe 3.329 nicht als Zahl unabhängiger Gremienentscheidungen bezeichnet werden darf. Ebenso wenig ist aus einer Teilungszahl auf dieselbe Zahl verschiedener Absender oder erfolgreicher Zustellungen zu schließen, solange die Ereignisdefinition nicht technisch bestätigt ist.</w:t>
      </w:r>
    </w:p>
    <w:p>
      <w:pPr>
        <w:pStyle w:val="Heading2"/>
      </w:pPr>
      <w:r>
        <w:t>3.5 Abgleich mit den im Gutachten wiedergegebenen Dashboard-Werten</w:t>
      </w:r>
    </w:p>
    <w:p>
      <w:r>
        <w:t>Die Ausgangsgutachten nennen neben dem Export Dashboard-Zahlen: 118.628 Teilungen, 3.452 Beschwerden beim Rundfunkrat und 83.096 Gesamtmeldungen. Gegenüber dem CSV liegen damit eine Differenz von einer Teilung sowie eine Differenz von 123 bei der Gremienkennzahl vor. Diese Abweichungen wurden in den Ausgangsarbeiten offengelegt und werden hier nicht beseitigt, indem jeweils der größere Wert verwendet wird. [S02, Abschn. E; S03, Abschn. E]</w:t>
      </w:r>
    </w:p>
    <w:p>
      <w:r>
        <w:t>Die Nachrechnung bestätigt nur die CSV-Summen. Ob unterschiedliche Abrufzeiten, Filter, technische Ereignisdefinitionen oder nachträgliche Änderungen die Dashboard-Differenzen erklären, ist nicht festgestellt. Auch die Dashboard-Größe 83.096 ist nicht mit einer einfachen Summe aus Zeilen und Teilungen gleichzusetzen. Ohne eine Definition der Dashboard-Kennzahlen darf sie nicht als Zahl unabhängiger Beschwerden oder als kontrollierte Versandzahl verwendet werden.</w:t>
      </w:r>
    </w:p>
    <w:p>
      <w:r>
        <w:t>Die Folgerung lautet daher positiv und begrenzt: Der Export dokumentiert einen umfangreichen Bestand bestimmbarer Beschwerdevorgänge und gespeicherter Verbreitungsaktivität. Die exakten Kennzahlen dieses Bestands sind reproduzierbar. Für Vergleiche mit Eingangsstatistiken einer Anstalt müssen die Zähleinheiten harmonisiert werden. Dazu gehören die Behandlung von Mehrfachbeschwerden, Leiteingaben, Weiterleitungen und bereits vor einer Gremienbefassung erledigten Anliegen.</w:t>
      </w:r>
    </w:p>
    <w:p>
      <w:pPr>
        <w:pStyle w:val="Heading2"/>
      </w:pPr>
      <w:r>
        <w:t>3.6 Medien- und Senderverteilung als Grundlage gezielter Teilmengen</w:t>
      </w:r>
    </w:p>
    <w:p>
      <w:r>
        <w:t>Die Medienverteilung lautet 3.943 Fernsehvorgänge, 43 Onlinevorgänge, fünf Radiovorgänge und 95 ohne Medienzuordnung. Damit beschreibt der Datensatz vor allem Fernsehkritik. Er bildet nicht allein wegen seiner Größe Radio und Telemedien repräsentativ ab. Der positive Nutzen der Verteilung ist die Möglichkeit, einen begrenzten anstalts- und formatbezogenen Untersuchungsbestand zu bilden, statt alle Plattformdaten ungeprüft als Gesamtrundfunkbeweis zu behandeln. [D03]</w:t>
      </w:r>
    </w:p>
    <w:tbl>
      <w:tblPr>
        <w:tblW w:type="auto" w:w="0"/>
        <w:jc w:val="center"/>
        <w:tblLayout w:type="fixed"/>
        <w:tblLook w:firstColumn="1" w:firstRow="1" w:lastColumn="0" w:lastRow="0" w:noHBand="0" w:noVBand="1" w:val="04A0"/>
      </w:tblPr>
      <w:tblGrid>
        <w:gridCol w:w="4535"/>
        <w:gridCol w:w="2098"/>
        <w:gridCol w:w="2324"/>
      </w:tblGrid>
      <w:tr>
        <w:trPr>
          <w:tblHeader/>
          <w:cantSplit/>
        </w:trPr>
        <w:tc>
          <w:tcPr>
            <w:tcW w:type="dxa" w:w="4535"/>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Medium laut Export</w:t>
            </w:r>
          </w:p>
        </w:tc>
        <w:tc>
          <w:tcPr>
            <w:tcW w:type="dxa" w:w="209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Vorgänge</w:t>
            </w:r>
          </w:p>
        </w:tc>
        <w:tc>
          <w:tcPr>
            <w:tcW w:type="dxa" w:w="232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Anteil</w:t>
            </w:r>
          </w:p>
        </w:tc>
      </w:tr>
      <w:tr>
        <w:trPr>
          <w:cantSplit/>
        </w:trPr>
        <w:tc>
          <w:tcPr>
            <w:tcW w:type="dxa" w:w="453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tv</w:t>
            </w:r>
          </w:p>
        </w:tc>
        <w:tc>
          <w:tcPr>
            <w:tcW w:type="dxa" w:w="209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3943</w:t>
            </w:r>
          </w:p>
        </w:tc>
        <w:tc>
          <w:tcPr>
            <w:tcW w:type="dxa" w:w="232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96,50 %</w:t>
            </w:r>
          </w:p>
        </w:tc>
      </w:tr>
      <w:tr>
        <w:trPr>
          <w:cantSplit/>
        </w:trPr>
        <w:tc>
          <w:tcPr>
            <w:tcW w:type="dxa" w:w="453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unbekannt</w:t>
            </w:r>
          </w:p>
        </w:tc>
        <w:tc>
          <w:tcPr>
            <w:tcW w:type="dxa" w:w="209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95</w:t>
            </w:r>
          </w:p>
        </w:tc>
        <w:tc>
          <w:tcPr>
            <w:tcW w:type="dxa" w:w="232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2,33 %</w:t>
            </w:r>
          </w:p>
        </w:tc>
      </w:tr>
      <w:tr>
        <w:trPr>
          <w:cantSplit/>
        </w:trPr>
        <w:tc>
          <w:tcPr>
            <w:tcW w:type="dxa" w:w="453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online</w:t>
            </w:r>
          </w:p>
        </w:tc>
        <w:tc>
          <w:tcPr>
            <w:tcW w:type="dxa" w:w="2098"/>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43</w:t>
            </w:r>
          </w:p>
        </w:tc>
        <w:tc>
          <w:tcPr>
            <w:tcW w:type="dxa" w:w="232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1,05 %</w:t>
            </w:r>
          </w:p>
        </w:tc>
      </w:tr>
      <w:tr>
        <w:trPr>
          <w:cantSplit/>
        </w:trPr>
        <w:tc>
          <w:tcPr>
            <w:tcW w:type="dxa" w:w="453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radio</w:t>
            </w:r>
          </w:p>
        </w:tc>
        <w:tc>
          <w:tcPr>
            <w:tcW w:type="dxa" w:w="2098"/>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5</w:t>
            </w:r>
          </w:p>
        </w:tc>
        <w:tc>
          <w:tcPr>
            <w:tcW w:type="dxa" w:w="232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0,12 %</w:t>
            </w:r>
          </w:p>
        </w:tc>
      </w:tr>
    </w:tbl>
    <w:p>
      <w:pPr>
        <w:spacing w:after="0"/>
      </w:pPr>
    </w:p>
    <w:p>
      <w:r>
        <w:t>Die Senderbezeichnungen werden im folgenden Überblick so verwendet, wie sie im Export stehen. Sie sind keine abschließende rechtliche Zuordnung des verantwortlichen Rechtsträgers. Das Erste ist beispielsweise ein Gemeinschaftsangebot; aus dieser Bezeichnung allein folgt nicht, welche Anstalt die konkrete Sendung verantwortet. Ebenso werden private Anbieter und die anders finanzierte Deutsche Welle nicht ungeprüft als beitragsfinanzierte Landesrundfunkangebote mitgezählt.</w:t>
      </w:r>
    </w:p>
    <w:tbl>
      <w:tblPr>
        <w:tblW w:type="auto" w:w="0"/>
        <w:jc w:val="center"/>
        <w:tblLayout w:type="fixed"/>
        <w:tblLook w:firstColumn="1" w:firstRow="1" w:lastColumn="0" w:lastRow="0" w:noHBand="0" w:noVBand="1" w:val="04A0"/>
      </w:tblPr>
      <w:tblGrid>
        <w:gridCol w:w="4309"/>
        <w:gridCol w:w="1474"/>
        <w:gridCol w:w="1587"/>
        <w:gridCol w:w="1587"/>
      </w:tblGrid>
      <w:tr>
        <w:trPr>
          <w:tblHeader/>
          <w:cantSplit/>
        </w:trPr>
        <w:tc>
          <w:tcPr>
            <w:tcW w:type="dxa" w:w="4309"/>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Senderbezeichnung im Export</w:t>
            </w:r>
          </w:p>
        </w:tc>
        <w:tc>
          <w:tcPr>
            <w:tcW w:type="dxa" w:w="147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Vorgänge</w:t>
            </w:r>
          </w:p>
        </w:tc>
        <w:tc>
          <w:tcPr>
            <w:tcW w:type="dxa" w:w="158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Teilungen</w:t>
            </w:r>
          </w:p>
        </w:tc>
        <w:tc>
          <w:tcPr>
            <w:tcW w:type="dxa" w:w="158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Gremieninfo.</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1LIVE</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3sat</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46</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967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43</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ARD alpha</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5</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BR</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82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784</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38</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DW Online</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Das Erste</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1858</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46541</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1163</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Deutschlandfunk</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HR</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45</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4879</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152</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Kabel Eins</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KiKa</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66</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2767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98</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MDR</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100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1147</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49</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MDR Aktuell</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NDR</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64</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1037</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33</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ONE</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ProSieben</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23</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RBB</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622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14</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RTL</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19</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754</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SAT.1</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9</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SR</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13</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SWR BW</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36</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702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33</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SWR RLP</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VOX</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5</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WDR</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102</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2468</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74</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ZDF</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1080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44841</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1354</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ZDFinfo</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15</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ZDFneo</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25</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331</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14</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arte</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hr1</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phoenix</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83</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134</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5</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tagesschau24</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142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939</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21</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unbekannt</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164</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9708</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230</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Summe</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4086</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118627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3329</w:t>
            </w:r>
          </w:p>
        </w:tc>
      </w:tr>
    </w:tbl>
    <w:p>
      <w:pPr>
        <w:spacing w:after="0"/>
      </w:pPr>
    </w:p>
    <w:p>
      <w:r>
        <w:t>Das Erste und ZDF vereinigen 2.938 Ausgangsvorgänge auf sich, rund 71,9 Prozent des Bestands. Dieser Anteil beschreibt die Plattformaktivität, nicht den Anteil fehlerhafter Sendungen. Weder die Nutzungswahrscheinlichkeit eines Angebots noch die Anzahl ausgestrahlter Beiträge sind im Export als geeigneter Nenner einer Fehlerquote enthalten. Die Klägerseite verlangt deshalb keinen Sendervergleich nach vermeintlicher objektiver Fehlerhäufigkeit. Sie verwendet die Tabelle zur nachvollziehbaren Abgrenzung konkreter Teilbestände.</w:t>
      </w:r>
    </w:p>
    <w:p>
      <w:pPr>
        <w:pStyle w:val="Heading2"/>
      </w:pPr>
      <w:r>
        <w:t>3.7 Zeitverteilung und Datenqualität</w:t>
      </w:r>
    </w:p>
    <w:p>
      <w:r>
        <w:t>Die folgende Monatstabelle ist aus den gespeicherten Beschwerdezeitpunkten neu gebildet. Sie belegt den Verlauf der erfassten Aktivität. Das Beschwerdedatum ist nicht stets das Sendedatum; für den Beitragseinwand ist der zugrunde liegende Programmzeitraum gesondert zuzuordnen.</w:t>
      </w:r>
    </w:p>
    <w:tbl>
      <w:tblPr>
        <w:tblW w:type="auto" w:w="0"/>
        <w:jc w:val="center"/>
        <w:tblLayout w:type="fixed"/>
        <w:tblLook w:firstColumn="1" w:firstRow="1" w:lastColumn="0" w:lastRow="0" w:noHBand="0" w:noVBand="1" w:val="04A0"/>
      </w:tblPr>
      <w:tblGrid>
        <w:gridCol w:w="4309"/>
        <w:gridCol w:w="1474"/>
        <w:gridCol w:w="1587"/>
        <w:gridCol w:w="1587"/>
      </w:tblGrid>
      <w:tr>
        <w:trPr>
          <w:tblHeader/>
          <w:cantSplit/>
        </w:trPr>
        <w:tc>
          <w:tcPr>
            <w:tcW w:type="dxa" w:w="4309"/>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Beschwerdemonat</w:t>
            </w:r>
          </w:p>
        </w:tc>
        <w:tc>
          <w:tcPr>
            <w:tcW w:type="dxa" w:w="147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Vorgänge</w:t>
            </w:r>
          </w:p>
        </w:tc>
        <w:tc>
          <w:tcPr>
            <w:tcW w:type="dxa" w:w="158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Teilungen</w:t>
            </w:r>
          </w:p>
        </w:tc>
        <w:tc>
          <w:tcPr>
            <w:tcW w:type="dxa" w:w="158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Gremieninfo.</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2024-06</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839</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4019</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45</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2024-07</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506</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6427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43</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2024-08</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229</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5845</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101</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2024-09</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372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17379</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199</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2024-10</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177</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10589</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184</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2024-11</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153</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13767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348</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2024-12</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146</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7360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263</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2025-01</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190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20102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458</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2025-02</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172</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5507</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252</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2025-03</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83</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2381</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138</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2025-04</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57</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3360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184</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2025-05</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178</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3948</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165</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2025-06</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186</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2129</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127</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2025-07</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202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2297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142</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2025-08</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74</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1076</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67</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2025-09</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122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3767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194</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2025-10</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62</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440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32</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2025-11</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78</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1493</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65</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2025-12</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59</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1591</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79</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2026-01</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468</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32</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2026-02</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55</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2119</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111</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2026-03</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463</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30</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2026-04</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24</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1297</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66</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2026-05</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15</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w:t>
            </w:r>
          </w:p>
        </w:tc>
      </w:tr>
      <w:tr>
        <w:trPr>
          <w:cantSplit/>
        </w:trPr>
        <w:tc>
          <w:tcPr>
            <w:tcW w:type="dxa" w:w="430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2026-06</w:t>
            </w:r>
          </w:p>
        </w:tc>
        <w:tc>
          <w:tcPr>
            <w:tcW w:type="dxa" w:w="1474"/>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25</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800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w:t>
            </w:r>
          </w:p>
        </w:tc>
      </w:tr>
      <w:tr>
        <w:trPr>
          <w:cantSplit/>
        </w:trPr>
        <w:tc>
          <w:tcPr>
            <w:tcW w:type="dxa" w:w="430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Summe</w:t>
            </w:r>
          </w:p>
        </w:tc>
        <w:tc>
          <w:tcPr>
            <w:tcW w:type="dxa" w:w="1474"/>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4086</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118627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3329</w:t>
            </w:r>
          </w:p>
        </w:tc>
      </w:tr>
    </w:tbl>
    <w:p>
      <w:pPr>
        <w:spacing w:after="0"/>
      </w:pPr>
    </w:p>
    <w:p>
      <w:r>
        <w:t>Die ersten zwölf Monate vom 13. Juni 2024 bis zum 12. Juni 2025 enthalten 3.221 Vorgänge, der nachfolgende leicht längere Abschnitt bis zum 19. Juni 2026 weitere 865. Dies bestätigt den in den Gutachten beschriebenen Rückgang. Daraus folgt jedoch weder, dass die Programme entsprechend besser wurden, noch, dass die Nutzer nachweislich resignierten. Reichweite und Nutzung der Plattform, thematische Ereignisse, Versandfunktionen und tatsächliche Abhilfe können den Verlauf beeinflussen. Eine Motivationserklärung ohne entsprechende Daten wird nicht als Tatsache behauptet.</w:t>
      </w:r>
    </w:p>
    <w:p>
      <w:r>
        <w:t>Die technische Datumsprüfung ergab 164 leere Ausstrahlungsfelder. Bei fünf Datensätzen liegt der gespeicherte Ausstrahlungszeitpunkt nach dem gespeicherten Beschwerdezeitpunkt. Die betreffenden IDs sind im technischen Prüfprotokoll bezeichnet. Mögliche Eingabefehler werden nicht eigenmächtig korrigiert; bis zur Klärung sind diese Zeilen für eine exakte Sendungszeitzuordnung gesondert zu behandeln. Die Zahlen widerlegen nicht den gesamten Export, begrenzen aber die Präzision einer rein automatischen Zeitfilterung. [D03]</w:t>
      </w:r>
    </w:p>
    <w:p>
      <w:r>
        <w:t>Ein schriftsätzlicher Tatsachenvortrag kann dadurch konkreter werden: Er benennt nicht nur mehrere Jahre Beschwerdeaktivität, sondern die für einen bestimmten Streitzeitraum gefilterten, hinreichend datierten Inhalte und die verbleibenden unzugeordneten Zeilen. Für die nachfolgend ausgearbeiteten Fallgruppen sind Sender, Titel und gespeicherter Sendetag miteinander abgeglichen. Ein neuer unabhängiger Abgleich aller Ausstrahlungszeiten mit den Sendearchiven wurde nicht vorgenommen.</w:t>
      </w:r>
    </w:p>
    <w:p>
      <w:pPr>
        <w:pStyle w:val="Heading2"/>
      </w:pPr>
      <w:r>
        <w:t>3.8 Vorwurfskategorien: Untersuchungsanlass statt bereits festgestellter Verstoß</w:t>
      </w:r>
    </w:p>
    <w:p>
      <w:r>
        <w:t>Die Kategorien im Export sind Vorwurfsbezeichnungen. Zu einer Zeile können mehrere Kategorien gespeichert sein. Die häufigsten sind selektive Berichterstattung mit 2.065 und Einseitigkeit mit 1.983 Zuordnungen; 960 Zeilen nennen Falschmeldung. Die vollständige nachgerechnete Kategorienverteilung steht im technischen Nachweis. Sprachlich wertende Begriffe des Ausgangssystems werden dort ausdrücklich als gespeicherte Nutzerkategorien gekennzeichnet, nicht als eigene Tatsachenfeststellungen. [D03]</w:t>
      </w:r>
    </w:p>
    <w:p>
      <w:r>
        <w:t>Für eine sachliche Inhaltsprüfung ist die Kategorienliste allein unzureichend. Ein als Falschmeldung bezeichnetes Anliegen kann eine nachweisbar falsche Tatsachenbehauptung, eine abweichende Interpretation oder Unzufriedenheit mit einer Schwerpunktsetzung betreffen. Umgekehrt kann ein tatsächlicher Tatsachenfehler unter mehreren anderen Kategorien erfasst sein. Die Qualifikation muss deshalb am konkret benannten Beitrag und am behaupteten Fehler ansetzen, nicht am Schlagwort.</w:t>
      </w:r>
    </w:p>
    <w:p>
      <w:r>
        <w:t>Der positive Nutzen besteht in der Auswahl eines nachvollziehbaren Prüffelds. Für eine Untersuchung von Korrekturen können beispielsweise konkret bezeichnete Tatsachenbeanstandungen und deren Antworten untersucht werden. Für eine Untersuchung von Gremienverfahren kann auf Zeilen mit einer gespeicherten Eskalation zugegriffen werden. Beide Auswahlwege müssen als bewusste Fallauswahl erkennbar bleiben. Aus ihnen entsteht ohne geeignete Stichprobenlogik keine allgemeine Erfolgs- oder Fehlerquote.</w:t>
      </w:r>
    </w:p>
    <w:p>
      <w:pPr>
        <w:pStyle w:val="Heading2"/>
      </w:pPr>
      <w:r>
        <w:t>3.9 Ein differenziertes Wirkungsmodell</w:t>
      </w:r>
    </w:p>
    <w:p>
      <w:r>
        <w:t>Das Rundfunkalarm-Gutachten unterscheidet sechs Stufen von fehlender dokumentierter Reaktion bis zu struktureller Lernwirkung. Diese Ordnung wird aufgenommen, aber von der sachlichen Rechtmäßigkeit einer Entscheidung getrennt. Eine vollständig begründete Zurückweisung kann ordnungsgemäße Kontrolle sein, auch wenn sie keine Korrektur verlangt. Umgekehrt kann ein Verfahren formal als erledigt beendet werden, weil das berechtigte Anliegen schon vorher erfüllt wurde.</w:t>
      </w:r>
    </w:p>
    <w:tbl>
      <w:tblPr>
        <w:tblW w:type="auto" w:w="0"/>
        <w:jc w:val="center"/>
        <w:tblLayout w:type="fixed"/>
        <w:tblLook w:firstColumn="1" w:firstRow="1" w:lastColumn="0" w:lastRow="0" w:noHBand="0" w:noVBand="1" w:val="04A0"/>
      </w:tblPr>
      <w:tblGrid>
        <w:gridCol w:w="680"/>
        <w:gridCol w:w="3628"/>
        <w:gridCol w:w="4649"/>
      </w:tblGrid>
      <w:tr>
        <w:trPr>
          <w:tblHeader/>
          <w:cantSplit/>
        </w:trPr>
        <w:tc>
          <w:tcPr>
            <w:tcW w:type="dxa" w:w="680"/>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Stufe</w:t>
            </w:r>
          </w:p>
        </w:tc>
        <w:tc>
          <w:tcPr>
            <w:tcW w:type="dxa" w:w="362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Dokumentierter Vorgang</w:t>
            </w:r>
          </w:p>
        </w:tc>
        <w:tc>
          <w:tcPr>
            <w:tcW w:type="dxa" w:w="4649"/>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Erkenntnisgrenze</w:t>
            </w:r>
          </w:p>
        </w:tc>
      </w:tr>
      <w:tr>
        <w:trPr>
          <w:cantSplit/>
        </w:trPr>
        <w:tc>
          <w:tcPr>
            <w:tcW w:type="dxa" w:w="68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0</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Keine dokumentierte Reaktion</w:t>
            </w:r>
          </w:p>
        </w:tc>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Fehlende Dokumentation ist nicht bewiesene Nichtbearbeitung</w:t>
            </w:r>
          </w:p>
        </w:tc>
      </w:tr>
      <w:tr>
        <w:trPr>
          <w:cantSplit/>
        </w:trPr>
        <w:tc>
          <w:tcPr>
            <w:tcW w:type="dxa" w:w="68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1</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Formaler Eingang / Kenntnisnahme</w:t>
            </w:r>
          </w:p>
        </w:tc>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Noch keine nachgewiesene Sachprüfung</w:t>
            </w:r>
          </w:p>
        </w:tc>
      </w:tr>
      <w:tr>
        <w:trPr>
          <w:cantSplit/>
        </w:trPr>
        <w:tc>
          <w:tcPr>
            <w:tcW w:type="dxa" w:w="68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Nachvollziehbar begründete Zurückweisung</w:t>
            </w:r>
          </w:p>
        </w:tc>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Kann bei unbegründeter Eingabe ordnungsgemäße Kontrolle sein</w:t>
            </w:r>
          </w:p>
        </w:tc>
      </w:tr>
      <w:tr>
        <w:trPr>
          <w:cantSplit/>
        </w:trPr>
        <w:tc>
          <w:tcPr>
            <w:tcW w:type="dxa" w:w="68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3</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Anerkennung oder weitere Prüfung ohne sichtbare Abhilfe</w:t>
            </w:r>
          </w:p>
        </w:tc>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Anerkennung, Prüfung und Umsetzung einzeln erfassen</w:t>
            </w:r>
          </w:p>
        </w:tc>
      </w:tr>
      <w:tr>
        <w:trPr>
          <w:cantSplit/>
        </w:trPr>
        <w:tc>
          <w:tcPr>
            <w:tcW w:type="dxa" w:w="680"/>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4</w:t>
            </w:r>
          </w:p>
        </w:tc>
        <w:tc>
          <w:tcPr>
            <w:tcW w:type="dxa" w:w="362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Korrektur, Ergänzung, Richtigstellung oder andere Abhilfe</w:t>
            </w:r>
          </w:p>
        </w:tc>
        <w:tc>
          <w:tcPr>
            <w:tcW w:type="dxa" w:w="4649"/>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Konkrete Maßnahme, Datum und Reichweite belegen</w:t>
            </w:r>
          </w:p>
        </w:tc>
      </w:tr>
      <w:tr>
        <w:trPr>
          <w:cantSplit/>
        </w:trPr>
        <w:tc>
          <w:tcPr>
            <w:tcW w:type="dxa" w:w="680"/>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5</w:t>
            </w:r>
          </w:p>
        </w:tc>
        <w:tc>
          <w:tcPr>
            <w:tcW w:type="dxa" w:w="362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Strukturelle Maßnahme / dokumentierter Lernprozess</w:t>
            </w:r>
          </w:p>
        </w:tc>
        <w:tc>
          <w:tcPr>
            <w:tcW w:type="dxa" w:w="4649"/>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Ankündigung und tatsächliche langfristige Wirkung trennen</w:t>
            </w:r>
          </w:p>
        </w:tc>
      </w:tr>
    </w:tbl>
    <w:p>
      <w:pPr>
        <w:spacing w:after="0"/>
      </w:pPr>
    </w:p>
    <w:p>
      <w:r>
        <w:t>Zusätzlich sind Entscheidungsergebnis und tatsächliche Folge getrennt zu kodieren. Ergebnisgruppen sind insbesondere unzulässig, unbegründet, teilweise begründet, begründet, wegen Abhilfe erledigt und anderweitig erledigt. Folgen können eine Richtigstellung, Ergänzung, Entfernung oder Änderung eines Beitrags, eine Entschuldigung, eine geänderte Freigaberegel oder eine andere dokumentierte Maßnahme sein. Diese Zweiteilung verhindert, dass ein nicht stattgegebener Vorgang automatisch als wirkungslos gilt.</w:t>
      </w:r>
    </w:p>
    <w:p>
      <w:r>
        <w:t>Bei unbekanntem Ergebnis ist unbekannt einzutragen. Fehlende Dokumentation ist nicht dasselbe wie dokumentierte Nichtbearbeitung. Eine vollständige Untersuchung muss ferner einen angemessenen Beobachtungszeitraum nach Beschwerdeeingang berücksichtigen: Ein wenige Tage vor Export angelegter Vorgang kann noch offen gewesen sein. Ihn wie eine jahrelang unbeantwortete Eingabe zu behandeln, würde die behauptete Wirkungslosigkeit künstlich erhöhen.</w:t>
      </w:r>
    </w:p>
    <w:p>
      <w:pPr>
        <w:pStyle w:val="Heading2"/>
      </w:pPr>
      <w:r>
        <w:t>3.10 Fallgruppe F01: heute journal vom 15. Februar 2026</w:t>
      </w:r>
    </w:p>
    <w:p>
      <w:r>
        <w:t>Die Auswahl wurde anhand der gespeicherten Senderbezeichnung ZDF, des Ausstrahlungstags 15. Februar 2026 und des Bezugs zum heute journal beziehungsweise dem beanstandeten ICE-Bildmaterial vorgenommen. Der Export enthält zehn zugeordnete Datensätze. In ihnen sind insgesamt 723 Teilungen und 28 Rundfunkratsinformationen gespeichert. Die folgende Tabelle enthält ausschließlich fallrelevante Metadaten; private Ortsangaben werden nicht wiedergegeben. [D01; D02]</w:t>
      </w:r>
    </w:p>
    <w:tbl>
      <w:tblPr>
        <w:tblW w:type="auto" w:w="0"/>
        <w:jc w:val="center"/>
        <w:tblLayout w:type="fixed"/>
        <w:tblLook w:firstColumn="1" w:firstRow="1" w:lastColumn="0" w:lastRow="0" w:noHBand="0" w:noVBand="1" w:val="04A0"/>
      </w:tblPr>
      <w:tblGrid>
        <w:gridCol w:w="2268"/>
        <w:gridCol w:w="3515"/>
        <w:gridCol w:w="1587"/>
        <w:gridCol w:w="1587"/>
      </w:tblGrid>
      <w:tr>
        <w:trPr>
          <w:tblHeader/>
          <w:cantSplit/>
        </w:trPr>
        <w:tc>
          <w:tcPr>
            <w:tcW w:type="dxa" w:w="226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Beschwerde-ID</w:t>
            </w:r>
          </w:p>
        </w:tc>
        <w:tc>
          <w:tcPr>
            <w:tcW w:type="dxa" w:w="3515"/>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Beschwerdedatum</w:t>
            </w:r>
          </w:p>
        </w:tc>
        <w:tc>
          <w:tcPr>
            <w:tcW w:type="dxa" w:w="158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Teilungen</w:t>
            </w:r>
          </w:p>
        </w:tc>
        <w:tc>
          <w:tcPr>
            <w:tcW w:type="dxa" w:w="1587"/>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Gremieninfo.</w:t>
            </w:r>
          </w:p>
        </w:tc>
      </w:tr>
      <w:tr>
        <w:trPr>
          <w:cantSplit/>
        </w:trPr>
        <w:tc>
          <w:tcPr>
            <w:tcW w:type="dxa" w:w="226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m-6wdhnt</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16.02.2026 15:14</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1</w:t>
            </w:r>
          </w:p>
        </w:tc>
      </w:tr>
      <w:tr>
        <w:trPr>
          <w:cantSplit/>
        </w:trPr>
        <w:tc>
          <w:tcPr>
            <w:tcW w:type="dxa" w:w="226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m-6wdmll</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16.02.2026 20:19</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226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m-6wdo55</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16.02.2026 22:18</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226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m-6wdodh</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17.02.2026 01:52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723</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27</w:t>
            </w:r>
          </w:p>
        </w:tc>
      </w:tr>
      <w:tr>
        <w:trPr>
          <w:cantSplit/>
        </w:trPr>
        <w:tc>
          <w:tcPr>
            <w:tcW w:type="dxa" w:w="226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m-6we341</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17.02.2026 09:32</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226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m-6wf45d</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17.02.2026 16:27</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226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m-6wfav1</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17.02.2026 19:18</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226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m-6wfy0d</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18.02.2026 09:53</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226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m-6wi9cd</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23.02.2026 19:08</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226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m-6wiqs5</w:t>
            </w:r>
          </w:p>
        </w:tc>
        <w:tc>
          <w:tcPr>
            <w:tcW w:type="dxa" w:w="3515"/>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26.02.2026 09:02</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c>
          <w:tcPr>
            <w:tcW w:type="dxa" w:w="1587"/>
            <w:vAlign w:val="center"/>
            <w:tcMar>
              <w:top w:w="75" w:type="dxa"/>
              <w:bottom w:w="75" w:type="dxa"/>
              <w:left w:w="100" w:type="dxa"/>
              <w:right w:w="100" w:type="dxa"/>
            </w:tcMar>
            <w:shd w:fill="F5F7F9"/>
            <w:tcBorders>
              <w:bottom w:val="single" w:sz="3" w:color="D9E0E6"/>
            </w:tcBorders>
          </w:tcPr>
          <w:p>
            <w:pPr>
              <w:keepNext w:val="0"/>
              <w:spacing w:after="20" w:before="20" w:line="247" w:lineRule="auto"/>
              <w:jc w:val="right"/>
            </w:pPr>
            <w:r>
              <w:rPr>
                <w:rFonts w:ascii="Liberation Serif" w:hAnsi="Liberation Serif"/>
                <w:b w:val="0"/>
                <w:sz w:val="21"/>
              </w:rPr>
              <w:t>0</w:t>
            </w:r>
          </w:p>
        </w:tc>
      </w:tr>
      <w:tr>
        <w:trPr>
          <w:cantSplit/>
        </w:trPr>
        <w:tc>
          <w:tcPr>
            <w:tcW w:type="dxa" w:w="226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Summe / 10 Vorgänge</w:t>
            </w:r>
          </w:p>
        </w:tc>
        <w:tc>
          <w:tcPr>
            <w:tcW w:type="dxa" w:w="3515"/>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723</w:t>
            </w:r>
          </w:p>
        </w:tc>
        <w:tc>
          <w:tcPr>
            <w:tcW w:type="dxa" w:w="1587"/>
            <w:vAlign w:val="center"/>
            <w:tcMar>
              <w:top w:w="75" w:type="dxa"/>
              <w:bottom w:w="75" w:type="dxa"/>
              <w:left w:w="100" w:type="dxa"/>
              <w:right w:w="100" w:type="dxa"/>
            </w:tcMar>
            <w:shd w:fill="FFFFFF"/>
            <w:tcBorders>
              <w:bottom w:val="single" w:sz="3" w:color="D9E0E6"/>
            </w:tcBorders>
          </w:tcPr>
          <w:p>
            <w:pPr>
              <w:keepNext w:val="0"/>
              <w:spacing w:after="20" w:before="20" w:line="247" w:lineRule="auto"/>
              <w:jc w:val="right"/>
            </w:pPr>
            <w:r>
              <w:rPr>
                <w:rFonts w:ascii="Liberation Serif" w:hAnsi="Liberation Serif"/>
                <w:b w:val="0"/>
                <w:sz w:val="21"/>
              </w:rPr>
              <w:t>28</w:t>
            </w:r>
          </w:p>
        </w:tc>
      </w:tr>
    </w:tbl>
    <w:p>
      <w:pPr>
        <w:spacing w:after="0"/>
      </w:pPr>
    </w:p>
    <w:p>
      <w:r>
        <w:t>Der Vorgang m-6wdodh beanstandet insbesondere die Verwendung eines nach der Beschwerde KI-generierten Clips ohne hinreichende Kennzeichnung sowie den Widerspruch zu einer vorausgehenden Warnung vor gefälschten Videos. m-6wi9cd enthält einen weitgehend entsprechenden Beschwerdetext. Andere Einträge in der Gruppe sind knapper oder anders gewichtet. Aus dem gemeinsamen Sendungsbezug folgt nicht, dass alle zehn in jeder Einzelheit dieselben Vorwürfe erhoben. Rechtliche Normzitate der Eingaben werden nicht ungeprüft als zutreffende rechtliche Einordnung übernommen.</w:t>
      </w:r>
    </w:p>
    <w:p>
      <w:r>
        <w:t>Die öffentliche Mitteilung des Fernsehrats vom 19. Juni 2026 behandelt das Beschwerdeverfahren zur Sendung vom 15. Februar 2026. Sie beschreibt, dass KI-generiertes und sachlich nicht passend zugeordnetes Material nicht den einschlägigen Standards entsprochen habe. Zugleich nennt sie die Korrektur mit Entschuldigung in der Sendung vom 17. Februar, die Entfernung des beanstandeten Beitrags aus dem Streamingangebot, personelle Folgen sowie weitere organisatorische Maßnahmen. Das Verfahren wurde wegen bereits wirksamer Abhilfe als erledigt behandelt. [E21, S. 1-2]</w:t>
      </w:r>
    </w:p>
    <w:p>
      <w:r>
        <w:t>Die Mitteilung setzt sich außerdem mit dem Vorwurf einer absichtlichen Täuschung auseinander und bestätigt diesen nicht. Dieser Gegenbefund wird ausdrücklich mitgeführt. Die Klägerseite stützt sich auf den dokumentierten Fehler und die dokumentierten Reaktionen, nicht auf eine unbewiesene Manipulationsabsicht. Eine Aktenlage, die Fehler und Abhilfe zugleich belegt, darf nicht selektiv nur mit ihrem belastenden Teil verwendet werden.</w:t>
      </w:r>
    </w:p>
    <w:p>
      <w:pPr>
        <w:pStyle w:val="Heading2"/>
      </w:pPr>
      <w:r>
        <w:t>3.11 F01: gesicherte Verbindung und offenbleibende Kausalität</w:t>
      </w:r>
    </w:p>
    <w:p>
      <w:r>
        <w:t>Die Übereinstimmung zwischen Export und Ergebnisquelle betrifft die bestimmte Sendung und den darin beanstandeten Umgang mit Bildmaterial. Damit ist ein sachlicher Zusammenhang hergestellt, der über das bloße Nebeneinander einer Statistik und eines Presseartikels hinausgeht. Nicht hergestellt ist dagegen eine eindeutige Zuordnung jeder Plattform-ID zur beim ZDF geführten Leiteingabe oder zu einem dortigen Eingangsaktenzeichen.</w:t>
      </w:r>
    </w:p>
    <w:p>
      <w:r>
        <w:t>Insbesondere darf aus den 723 Teilungen nicht gefolgert werden, alle seien vor der Korrektur am 17. Februar beim ZDF eingegangen. Die gespeicherten Teilungsgrenzen reichen bei m-6wdodh bis zum 19. Juni 2026; der Export enthält keine vollständige Ereignisliste jeder einzelnen Teilung. Einige Ursprungsvorgänge wurden zudem erst nach der berichteten Korrektur angelegt. Ein Kausalmodell, nach dem die gesamte registrierte Aktivität die erste Korrektur ausgelöst habe, wäre deshalb nicht belegt.</w:t>
      </w:r>
    </w:p>
    <w:p>
      <w:r>
        <w:t>Die begrenzte weitere Frage lautet: Welche dieser konkret bezeichneten Beschwerden gingen ein, wurden welcher Leiteingabe zugeordnet und erhielten welche Antwort? Dafür können eine Eingangsbestätigung, die Zuordnungsinformation oder die bereits vorhandene Antwort genügen. Verlangt werden nicht sämtliche personenbezogenen Daten anderer Beschwerdeführender und keine Offenlegung vertraulicher journalistischer Quellen. Die im gerichtlichen Zusammenhang begehrte Information bezieht sich auf ein bestimmtes bereits bekanntes Ereignis.</w:t>
      </w:r>
    </w:p>
    <w:p>
      <w:r>
        <w:t>Für das Wirkungsmodell folgt: Auf der Ebene des veröffentlichten Beitrags liegt nach der Ergebnisquelle dokumentierte Abhilfe vor. Auf der Ebene einzelner Rundfunkalarm-Eingaben ist deren eigener Verfahrensverlauf noch offen. Die pauschale Fortschreibung einer nach außen vollständig unsichtbaren Korrekturwirkung wäre angesichts dieser Erkenntnis nicht mehr zutreffend. Die revidierte Aussage muss beide Ebenen nennen. Diese Korrektur der früheren Einordnung ist eine Folge zusätzlicher Erkenntnisse, nicht eine nachträgliche Änderung der Originaldatei.</w:t>
      </w:r>
    </w:p>
    <w:p>
      <w:pPr>
        <w:pStyle w:val="Heading2"/>
      </w:pPr>
      <w:r>
        <w:t>3.12 Fallgruppe F02: Schlagabtausch vom 6. Februar 2025</w:t>
      </w:r>
    </w:p>
    <w:p>
      <w:r>
        <w:t>Die Auswahl nach ZDF, Sendetag 6. Februar 2025 und Sendungstitel Schlagabtausch ergibt zwanzig Datensätze mit insgesamt 854 gespeicherten Teilungen und 31 Gremieninformationen. Der zentrale geteilte Vorgang ist m-6s5ogl, angelegt am 7. Februar 2025 um 10:41 Uhr; bei ihm sind 854 Teilungen und 30 Gremieninformationen gespeichert. Ein weiterer Datensatz trägt eine Gremieninformation. Die vollständige ID-Liste ist Bestandteil des technischen Fallgruppennachweises. [D02]</w:t>
      </w:r>
    </w:p>
    <w:p>
      <w:r>
        <w:t>Die Eingaben beanstanden unter anderem Publikumsreaktionen, Auswahl beziehungsweise Platzierung des Publikums, Moderation und Behandlung der Teilnehmenden. Dies sind Vorwürfe der Beschwerdeführenden, keine durch die Plattformdaten bewiesenen Produktionsabläufe. Die gespeicherte Formulierung, der Applaus sei gezielt manipuliert worden, wird nicht als festgestellte Tatsache übernommen. Prüfbar ist dagegen, welche Rekrutierungs- und Ablaufangaben die Anstalt in ihrer bereits veröffentlichten Stellungnahme zu diesem bestimmten Vorgang gemacht hat.</w:t>
      </w:r>
    </w:p>
    <w:p>
      <w:r>
        <w:t>Das öffentliche ZDF-Verzeichnis der Mehrfachbeschwerdeverfahren weist einen Vorgang zu dieser Sendung sowie Verweise auf Stellungnahme und Verfahrensausgang aus. Damit ist die Behauptung, es gebe hierzu keinerlei veröffentlichte Verfahrensinformation, nicht haltbar. Die in dieser Bearbeitung nicht verlässlich erschlossenen Einzelanlagen werden jedoch nicht mit einem erfundenen Entscheidungsergebnis ersetzt. Als gesichert wird hier nur die öffentliche Verzeichnung des konkreten Verfahrens eingeführt. [E20]</w:t>
      </w:r>
    </w:p>
    <w:p>
      <w:r>
        <w:t>Der nächste bestimmte Erkenntnisschritt ist entsprechend begrenzt: die vollständige Beschaffung der dort bezeichneten Stellungnahme und Ergebnisentscheidung sowie ihr Abgleich mit den konkreten Beschwerdepunkten. Die Fallgruppe eignet sich für die Untersuchung von Produktionsangaben und Beschwerdebegründung. Sie wird nicht als bereits bestätigter Nachweis einer parteipolitischen Steuerung oder als Beleg eines wirkungslosen Verfahrens ausgegeben.</w:t>
      </w:r>
    </w:p>
    <w:p>
      <w:pPr>
        <w:pStyle w:val="Heading2"/>
      </w:pPr>
      <w:r>
        <w:t>3.13 Fallgruppe F03: Nuhr im Ersten vom 29. Mai 2025</w:t>
      </w:r>
    </w:p>
    <w:p>
      <w:r>
        <w:t>Im Export findet sich der Vorgang m-6tzi4x, angelegt am 31. Mai 2025 um 00:09 Uhr, zur Sendung Nuhr im Ersten vom 29. Mai 2025. Gespeichert sind 398 Teilungen und 25 Rundfunkratsinformationen. Die Eingabe benennt einen Sendungsausschnitt ungefähr ab Minute 5 und verlinkt den Mediatheksbeitrag. Damit liegen eine bestimmte Sendung, eine bezeichnete Passage und eine rekonstruierbare Eingabe vor. [D01; D02]</w:t>
      </w:r>
    </w:p>
    <w:p>
      <w:r>
        <w:t>Die Beschwerde interpretiert die satirische Passage als pauschale Herabsetzung bestimmter Wähler und beanstandet eine aus ihrer Sicht unzulässige Verbindung mit Gewalttätigkeit. Diese Interpretation wird nicht als objektiver Straftat- oder Programmverstoß übernommen. Die satirische Form und die grundrechtlich geschützte Zuspitzung sind bei einer materiellen Prüfung zu berücksichtigen. Ein normativer Anspruch auf Zustimmung zur eigenen Partei wird nicht geltend gemacht. Für diesen Abschnitt steht der tatsächliche Umgang mit der bestimmten Eingabe im Vordergrund.</w:t>
      </w:r>
    </w:p>
    <w:p>
      <w:r>
        <w:t>Die ergänzte Rundfunkalarm-Fassung vom 13. September 2026 referiert einen rbb-Halbjahresbericht, der von rund 400 gleichlautenden Beschwerden über Rundfunkalarm zu dieser Sendung berichtet. Der in dieser Bearbeitung nicht im Volltext verifizierbare rbb-Bericht bleibt als Sekundärnachweis gekennzeichnet. Die ähnliche Größenordnung von 398 Teilungen und rund 400 berichteten Eingängen ist ein konkreter Abgleichsansatz; sie ist noch kein Beweis, dass die Zählsysteme exakt dieselben Ereignisse erfassen. [S03, Q11]</w:t>
      </w:r>
    </w:p>
    <w:p>
      <w:r>
        <w:t>Die weitere Anfrage ist dadurch bestimmt: erbeten werden die Bestätigung der betreffenden Eingangsgruppe, ihre technische beziehungsweise verfahrensrechtliche Zusammenfassung und die dazu ergangene vorhandene Antwort oder Entscheidung. Ein einziges Ursprungsschreiben mit vielen Weiterleitungen ist gerade kein Beweis für viele unabhängige Programmfehler. Es kann aber zeigen, wie die Gremien eine umfangreiche gleichgerichtete Eingangsgruppe behandeln. Die Unterscheidung der Zähleinheiten wird an diesem Fall praktisch nachvollziehbar.</w:t>
      </w:r>
    </w:p>
    <w:p>
      <w:pPr>
        <w:pStyle w:val="Heading2"/>
      </w:pPr>
      <w:r>
        <w:t>3.14 Ergebnis der drei Fallgruppen</w:t>
      </w:r>
    </w:p>
    <w:p>
      <w:r>
        <w:t>Die drei Gruppen haben unterschiedliche Erkenntnisstände. F01 verbindet gespeicherte Eingaben mit einem öffentlichen Ergebnis zu derselben Sendung und dokumentiert Fehler sowie Abhilfe. F02 verbindet gespeicherte Eingaben mit einem öffentlichen Verfahrensverzeichnis, ohne dass hier ein bestimmtes Ergebnis der Einzelentscheidung behauptet wird. F03 verbindet einen einzelnen vielfach geteilten Plattformvorgang mit einem in der September-Fassung referierten anstaltsseitigen Sammelbefund, dessen Original noch zu sichern ist.</w:t>
      </w:r>
    </w:p>
    <w:tbl>
      <w:tblPr>
        <w:tblW w:type="auto" w:w="0"/>
        <w:jc w:val="center"/>
        <w:tblLayout w:type="fixed"/>
        <w:tblLook w:firstColumn="1" w:firstRow="1" w:lastColumn="0" w:lastRow="0" w:noHBand="0" w:noVBand="1" w:val="04A0"/>
      </w:tblPr>
      <w:tblGrid>
        <w:gridCol w:w="2041"/>
        <w:gridCol w:w="2324"/>
        <w:gridCol w:w="2438"/>
        <w:gridCol w:w="2154"/>
      </w:tblGrid>
      <w:tr>
        <w:trPr>
          <w:tblHeader/>
          <w:cantSplit/>
        </w:trPr>
        <w:tc>
          <w:tcPr>
            <w:tcW w:type="dxa" w:w="2041"/>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Fallgruppe</w:t>
            </w:r>
          </w:p>
        </w:tc>
        <w:tc>
          <w:tcPr>
            <w:tcW w:type="dxa" w:w="232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Nachgerechnet</w:t>
            </w:r>
          </w:p>
        </w:tc>
        <w:tc>
          <w:tcPr>
            <w:tcW w:type="dxa" w:w="2438"/>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Zusätzlicher Nachweis</w:t>
            </w:r>
          </w:p>
        </w:tc>
        <w:tc>
          <w:tcPr>
            <w:tcW w:type="dxa" w:w="2154"/>
            <w:vAlign w:val="center"/>
            <w:tcMar>
              <w:top w:w="75" w:type="dxa"/>
              <w:bottom w:w="75" w:type="dxa"/>
              <w:left w:w="100" w:type="dxa"/>
              <w:right w:w="100" w:type="dxa"/>
            </w:tcMar>
            <w:shd w:fill="E8EEF3"/>
            <w:tcBorders>
              <w:bottom w:val="single" w:sz="3" w:color="D9E0E6"/>
            </w:tcBorders>
          </w:tcPr>
          <w:p>
            <w:pPr>
              <w:keepNext w:val="0"/>
              <w:spacing w:after="20" w:before="20" w:line="247" w:lineRule="auto"/>
            </w:pPr>
            <w:r>
              <w:rPr>
                <w:rFonts w:ascii="Liberation Serif" w:hAnsi="Liberation Serif"/>
                <w:b/>
                <w:sz w:val="21"/>
              </w:rPr>
              <w:t>Noch nicht bewiesen</w:t>
            </w:r>
          </w:p>
        </w:tc>
      </w:tr>
      <w:tr>
        <w:trPr>
          <w:cantSplit/>
        </w:trPr>
        <w:tc>
          <w:tcPr>
            <w:tcW w:type="dxa" w:w="204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F01 heute journal 15.02.2026</w:t>
            </w:r>
          </w:p>
        </w:tc>
        <w:tc>
          <w:tcPr>
            <w:tcW w:type="dxa" w:w="232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10 Vorgänge; 723 Teilungen; 28 Gremieninfos</w:t>
            </w:r>
          </w:p>
        </w:tc>
        <w:tc>
          <w:tcPr>
            <w:tcW w:type="dxa" w:w="243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E21: anerkannter Fehler und beschriebene Abhilfe</w:t>
            </w:r>
          </w:p>
        </w:tc>
        <w:tc>
          <w:tcPr>
            <w:tcW w:type="dxa" w:w="215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Zuordnung jedes Eingangs; Ursächlichkeit; langfristige Wirkung</w:t>
            </w:r>
          </w:p>
        </w:tc>
      </w:tr>
      <w:tr>
        <w:trPr>
          <w:cantSplit/>
        </w:trPr>
        <w:tc>
          <w:tcPr>
            <w:tcW w:type="dxa" w:w="2041"/>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F02 Schlagabtausch 06.02.2025</w:t>
            </w:r>
          </w:p>
        </w:tc>
        <w:tc>
          <w:tcPr>
            <w:tcW w:type="dxa" w:w="232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20 Vorgänge; 854 Teilungen; 31 Gremieninfos</w:t>
            </w:r>
          </w:p>
        </w:tc>
        <w:tc>
          <w:tcPr>
            <w:tcW w:type="dxa" w:w="2438"/>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E20: bestimmtes Verfahren gelistet</w:t>
            </w:r>
          </w:p>
        </w:tc>
        <w:tc>
          <w:tcPr>
            <w:tcW w:type="dxa" w:w="2154"/>
            <w:vAlign w:val="center"/>
            <w:tcMar>
              <w:top w:w="75" w:type="dxa"/>
              <w:bottom w:w="75" w:type="dxa"/>
              <w:left w:w="100" w:type="dxa"/>
              <w:right w:w="100" w:type="dxa"/>
            </w:tcMar>
            <w:shd w:fill="F5F7F9"/>
            <w:tcBorders>
              <w:bottom w:val="single" w:sz="3" w:color="D9E0E6"/>
            </w:tcBorders>
          </w:tcPr>
          <w:p>
            <w:pPr>
              <w:keepNext w:val="0"/>
              <w:spacing w:after="20" w:before="20" w:line="247" w:lineRule="auto"/>
            </w:pPr>
            <w:r>
              <w:rPr>
                <w:rFonts w:ascii="Liberation Serif" w:hAnsi="Liberation Serif"/>
                <w:b w:val="0"/>
                <w:sz w:val="21"/>
              </w:rPr>
              <w:t>Inhalt der hier noch nicht gesicherten Ergebnisentscheidung</w:t>
            </w:r>
          </w:p>
        </w:tc>
      </w:tr>
      <w:tr>
        <w:trPr>
          <w:cantSplit/>
        </w:trPr>
        <w:tc>
          <w:tcPr>
            <w:tcW w:type="dxa" w:w="2041"/>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F03 Nuhr 29.05.2025</w:t>
            </w:r>
          </w:p>
        </w:tc>
        <w:tc>
          <w:tcPr>
            <w:tcW w:type="dxa" w:w="232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1 Vorgang; 398 Teilungen; 25 Gremieninfos</w:t>
            </w:r>
          </w:p>
        </w:tc>
        <w:tc>
          <w:tcPr>
            <w:tcW w:type="dxa" w:w="2438"/>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S03 referiert rbb-Bericht mit rund 400 gleichlautenden Eingängen</w:t>
            </w:r>
          </w:p>
        </w:tc>
        <w:tc>
          <w:tcPr>
            <w:tcW w:type="dxa" w:w="2154"/>
            <w:vAlign w:val="center"/>
            <w:tcMar>
              <w:top w:w="75" w:type="dxa"/>
              <w:bottom w:w="75" w:type="dxa"/>
              <w:left w:w="100" w:type="dxa"/>
              <w:right w:w="100" w:type="dxa"/>
            </w:tcMar>
            <w:shd w:fill="FFFFFF"/>
            <w:tcBorders>
              <w:bottom w:val="single" w:sz="3" w:color="D9E0E6"/>
            </w:tcBorders>
          </w:tcPr>
          <w:p>
            <w:pPr>
              <w:keepNext w:val="0"/>
              <w:spacing w:after="20" w:before="20" w:line="247" w:lineRule="auto"/>
            </w:pPr>
            <w:r>
              <w:rPr>
                <w:rFonts w:ascii="Liberation Serif" w:hAnsi="Liberation Serif"/>
                <w:b w:val="0"/>
                <w:sz w:val="21"/>
              </w:rPr>
              <w:t>Originalbericht; exakte Gleichheit der Zähleinheiten; Ergebnis</w:t>
            </w:r>
          </w:p>
        </w:tc>
      </w:tr>
    </w:tbl>
    <w:p>
      <w:pPr>
        <w:spacing w:after="0"/>
      </w:pPr>
    </w:p>
    <w:p>
      <w:r>
        <w:t>Diese Verschiedenheit ist inhaltlich bedeutsam. Eine Fallanalyse, die alle drei Gruppen als unbeantwortet oder wirkungslos kennzeichnete, wäre falsch. Eine Darstellung, die alle gespeicherten Teilungen als unabhängige Programmverstöße addierte, wäre ebenso falsch. Der nun vorliegende Vortrag ersetzt solche pauschalen Aussagen durch jeweils benannte Belege und genau bezeichnete verbleibende Fragen.</w:t>
      </w:r>
    </w:p>
    <w:p>
      <w:r>
        <w:t>Die Fallgruppen wurden gezielt gewählt, weil konkrete Sendungsbezeichnungen, relevante Plattformdaten und externe Verfahrenshinweise vorliegen. Sie repräsentieren nicht statistisch alle 4.086 Vorgänge. Ihre Funktion besteht in der dokumentarischen Untersuchung von Zähllogik, Verfahrenszuordnung und Ergebnisbehandlung. Eine quantitative Gesamtaussage über die Wirksamkeit des Beschwerdesystems erfordert weiterhin eine geeignete Ergebnisstichprobe oder Vollerhebung.</w:t>
      </w:r>
    </w:p>
    <w:p>
      <w:pPr>
        <w:pStyle w:val="Heading2"/>
      </w:pPr>
      <w:r>
        <w:t>3.15 Externe Vergleichsbefunde der September-Fassung</w:t>
      </w:r>
    </w:p>
    <w:p>
      <w:r>
        <w:t>Die September-Fassung referiert eine journalistische Recherche mit 4.985 förmlichen Beschwerden im Jahr 2025, 184 Gremienbefassungen und einer formellen Stattgabe. Die Quellen werden dort als FAZ-Beitrag und Übermedien-Recherche bezeichnet. Diese Zahlen werden hier als Angaben jener ergänzten Arbeit eingeordnet; eine unabhängige Nachprüfung sämtlicher Anstaltsmeldungen liegt nicht vor. Die Reichweite des verwendeten Nachweises wird nicht durch das Wiederholen der Zahlen vergrößert. [S03, Abschn. F VI-VIII und Quellen Q8-Q9]</w:t>
      </w:r>
    </w:p>
    <w:p>
      <w:r>
        <w:t>Schon die September-Fassung warnt davor, die rechnerische Stattgabequote als gesamte Erfolgsquote zu bezeichnen. Vorherige Abhilfe, Erledigung, unterschiedliche Mehrfachbeschwerdelogiken und die Verteilung zwischen Intendanz und Gremium können die Kennzahlen erheblich verändern. Der jetzt direkt erschlossene ZDF-Fall illustriert genau dieses Problem: Ein formal erledigtes Verfahren kann mit materieller Abhilfe verbunden sein. Der positive Erkenntnisgewinn der Vergleichszahlen ist daher die Frage nach harmonisierten Ergebniskategorien, nicht ein pauschaler Wirkungsnachweis von null Prozent.</w:t>
      </w:r>
    </w:p>
    <w:p>
      <w:r>
        <w:t>Für eine anstaltsübergreifende Auswertung müssten Eingang, Zulässigkeit, inhaltliche Begründetheit, vorzeitige Abhilfe, Gremienbefassung, Entscheidung und konkrete Folge getrennt ausgewiesen werden. Die Klägerseite verlangt keine nachträgliche Herstellung jeder denkbaren Statistik. Vorhandene Standardberichte und bestimmte Ergebnisakten können aber aufklären, welche dieser Größen bereits erfasst werden und wie die Anstalten selbst die Wirksamkeit ihrer Kontrolle dokumentieren.</w:t>
      </w:r>
    </w:p>
    <w:p>
      <w:pPr>
        <w:pStyle w:val="Heading2"/>
      </w:pPr>
      <w:r>
        <w:t>3.16 Organisation und Programmwirkung: die erforderliche Verbindung</w:t>
      </w:r>
    </w:p>
    <w:p>
      <w:r>
        <w:t>Die institutionelle These des Ausgangsgutachtens wird beibehalten, aber konkret gefasst. Wenn ein ordnungsgemäß festgestellter Programmfehler trotz dokumentierter Kenntnis wiederkehrt, kann dies eine Frage nach der Wirksamkeit der Korrekturmechanismen begründen. Der Nachweis erfordert dann mindestens den ersten Fehler, die Kenntnis beziehungsweise Reaktion, die angekündigte oder veranlasste Maßnahme und einen sachlich vergleichbaren späteren Vorgang. Keine dieser Stufen darf allein aus der Zahl der Beschwerden abgeleitet werden.</w:t>
      </w:r>
    </w:p>
    <w:p>
      <w:r>
        <w:t>Am ZDF-Fall ist der erste Teil dieser Kette dokumentiert: benannter Inhalt, anerkannter Fehler und beschriebene Reaktionen. Die langfristige Wirkung der organisatorischen Maßnahmen ist damit noch nicht untersucht. Deshalb wird nicht behauptet, die angekündigten Maßnahmen seien wirkungslos geblieben. Eine anschließende fachliche Untersuchung könnte dagegen prüfen, welche vorhandenen Freigabe- und Verifikationsregeln galten, wie ihre Änderung dokumentiert wurde und ob in einer sachlich begrenzten Folgeperiode vergleichbare Fehler vorkamen.</w:t>
      </w:r>
    </w:p>
    <w:p>
      <w:r>
        <w:t>Ein organisatorisches Defizit kann für den Programmeinwand nur insoweit tragen, als es mit den rechtlich erheblichen Programmmerkmalen verbunden wird. Ein fehlender veröffentlichter Jahresbericht oder eine unbefriedigende Antwort allein beseitigt die Beitragspflicht nicht. Das gilt auch umgekehrt: Die bloße Existenz eines Ausschusses beweist nicht die fehlerfreie Behandlung jedes Vorgangs. Die verfahrensbezogene Aufklärung soll gerade diesen tatsächlichen Zusammenhang sichtbar machen, ohne dem Gericht die laufende Redaktion zu übertragen.</w:t>
      </w:r>
    </w:p>
    <w:p>
      <w:pPr>
        <w:pStyle w:val="Heading2"/>
      </w:pPr>
      <w:r>
        <w:t>3.17 Konkrete Beweisfunktion und begrenzte Aufklärung</w:t>
      </w:r>
    </w:p>
    <w:p>
      <w:r>
        <w:t>Der Nachweis D03 belegt die technische Reproduzierbarkeit der gespeicherten Kennzahlen. D02 belegt, nach welchen Regeln die drei Fallgruppen aus dem Export ausgewählt wurden und welche IDs dazugehören. E21 belegt den veröffentlichten Inhalt der ZDF-Entscheidung zu F01. Die Klägerseite bietet damit konkrete Dokumente und nicht nur die zukünftige Beschaffung eines noch unbestimmten Gutachtens an.</w:t>
      </w:r>
    </w:p>
    <w:p>
      <w:r>
        <w:t>Für die Verbindung zur individuellen Klägerakte gelten gesonderte Grenzen. Die hier dargestellten Plattformvorgänge sind nicht ohne Weiteres eigene Beschwerden jedes Klägers. Das eigene Eingangsschreiben, die eigene Antwort und der eigene Vorprozess müssen mit ihren tatsächlichen Kennungen im Fallblatt bezeichnet werden. Die gemeinsamen Fallgruppen dienen als Vergleichs- und Erkenntnismaterial. Sie ersetzen nicht die persönliche Betroffenheit oder den neuen Streitgegenstand des Projekt-51-Verfahrens.</w:t>
      </w:r>
    </w:p>
    <w:p>
      <w:r>
        <w:t>Die weitergehenden Fragen sind bereits bestimmt: Zu F01 die Zuordnung konkreter Eingaben zum Verfahren und die vorhandene Ergebnismitteilung; zu F02 die veröffentlicht bezeichnete Stellungnahme und Ergebnisentscheidung; zu F03 die verfahrensbezogene Behandlung der benannten Eingangsgruppe. Ein Antrag auf sämtliche internen Unterlagen aller Rundfunkanstalten wird daraus nicht abgeleitet. Umfang und rechtliche Zulässigkeit jeder Beiziehung sind an der Entscheidungserheblichkeit zu messen. [R02, §§ 86, 87, 99]</w:t>
      </w:r>
    </w:p>
    <w:p>
      <w:pPr>
        <w:pStyle w:val="Heading2"/>
      </w:pPr>
      <w:r>
        <w:t>3.18 Schlussfolgerung: was nun tatsächlich vorgetragen ist</w:t>
      </w:r>
    </w:p>
    <w:p>
      <w:r>
        <w:t>Die Klägerseite legt einen technisch nachgeprüften Beschwerdebestand, dessen Medien-, Sender- und Zeitverteilungen sowie drei dokumentarisch abgegrenzte Fallgruppen vor. Sie benennt die Differenz zwischen Plattformaktivität und anstaltsseitigem Verfahrensausgang. Damit ist ein wesentlicher Teil des bisher nur geplanten Aufklärungsansatzes ausgearbeitet. Der Vortrag ist weder auf eine Seitenzahl noch auf ein Schlagwort wie Gremienversagen gestützt.</w:t>
      </w:r>
    </w:p>
    <w:p>
      <w:r>
        <w:t>Die neuen Erkenntnisse erlauben auch eine ausdrückliche Korrektur der bisherigen Materialbeschreibung: Zu mindestens einer im Export enthaltenen Sendung ist öffentliche Abhilfe dokumentiert. Eine allgemeine Nullquote darf daraus nicht mehr formuliert werden. Gleichzeitig ist die individuelle Behandlung der einzelnen Plattformeingaben nicht schon durch eine allgemeine Ergebnisveröffentlichung geklärt. Diese verbleibende Frage ist eng genug, um sie anhand vorhandener Unterlagen zu untersuchen.</w:t>
      </w:r>
    </w:p>
    <w:p>
      <w:r>
        <w:t>Für eine Feststellung langfristiger gröblicher Programmdefizite reicht der Beschwerdebestand allein nicht. Sein rechtlicher Beitrag liegt in der konkret belegten Kontroll- und Erkenntnispraxis und ihrer Verbindung zu den Programmbefunden aus Abschnitt 2. Die Klägerseite ersucht um Würdigung genau dieses vorgelegten Materials und um die in Abschnitt 4 ausformulierte begrenzte Aufklärung. Ein bereits abgeschlossener Vollbeweis des gesamten Programmzustands oder der Wirkung aller Gremienverfahren wird nicht behauptet.</w:t>
      </w:r>
    </w:p>
    <w:sectPr w:rsidR="00FC693F" w:rsidRPr="0006063C" w:rsidSect="00034616">
      <w:headerReference w:type="default" r:id="rId9"/>
      <w:footerReference w:type="default" r:id="rId10"/>
      <w:pgSz w:w="11906" w:h="16838"/>
      <w:pgMar w:top="1276" w:right="1474" w:bottom="1162" w:left="1474" w:header="595"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fldSimple w:instr="PAGE">
      <w:r>
        <w:t>1</w:t>
      </w:r>
    </w:fldSimple>
    <w:r>
      <w:rPr>
        <w:sz w:val="18"/>
      </w:rPr>
      <w:t xml:space="preserve"> von </w:t>
    </w:r>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40"/>
      <w:pBdr>
        <w:bottom w:val="single" w:sz="4" w:color="CCD4DC"/>
      </w:pBdr>
    </w:pPr>
    <w:r>
      <w:rPr>
        <w:color w:val="536374"/>
        <w:sz w:val="17"/>
      </w:rPr>
      <w:t>Abschnitt 3 | Gemeinsame Begründung | V5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3" w:lineRule="auto" w:after="140"/>
    </w:pPr>
    <w:rPr>
      <w:rFonts w:ascii="Liberation Serif" w:hAnsi="Liberation Serif"/>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200"/>
      <w:outlineLvl w:val="0"/>
    </w:pPr>
    <w:rPr>
      <w:rFonts w:asciiTheme="majorHAnsi" w:eastAsiaTheme="majorEastAsia" w:hAnsiTheme="majorHAnsi" w:cstheme="majorBidi" w:ascii="Liberation Serif" w:hAnsi="Liberation Serif"/>
      <w:b/>
      <w:bCs/>
      <w:color w:val="172F45"/>
      <w:sz w:val="34"/>
      <w:szCs w:val="28"/>
      <w:lang w:val="de-DE"/>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Liberation Serif" w:hAnsi="Liberation Serif"/>
      <w:b/>
      <w:bCs/>
      <w:color w:val="172F45"/>
      <w:sz w:val="26"/>
      <w:szCs w:val="26"/>
      <w:lang w:val="de-DE"/>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Liberation Serif" w:hAnsi="Liberation Serif"/>
      <w:b/>
      <w:bCs/>
      <w:color w:val="172F45"/>
      <w:sz w:val="24"/>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Liberation Serif" w:hAnsi="Liberation Serif"/>
      <w:b/>
      <w:color w:val="172F45"/>
      <w:spacing w:val="5"/>
      <w:kern w:val="28"/>
      <w:sz w:val="4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erif" w:hAnsi="Liberation Serif"/>
      <w:b w:val="0"/>
      <w:i/>
      <w:iCs/>
      <w:color w:val="172F45"/>
      <w:spacing w:val="15"/>
      <w:sz w:val="26"/>
      <w:szCs w:val="24"/>
      <w:lang w:val="de-D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Abschnitt 3 | Gemeinsame Begründung</dc:title>
  <dc:subject>Modulare Klage- und Arbeitsfassung V5</dc:subject>
  <dc:creator/>
  <cp:keywords>Beitragsstopper; Projekt 51; V5; 2026-10-04</cp:keywords>
  <dc:description>Ausgearbeitete allgemeine Vorlage. Keine eingereichte oder unterschriebene Klage; individuelle Fallangaben sind einzusetzen.</dc:description>
  <cp:lastModifiedBy/>
  <cp:revision>1</cp:revision>
  <dcterms:created xsi:type="dcterms:W3CDTF">2013-12-23T23:15:00Z</dcterms:created>
  <dcterms:modified xsi:type="dcterms:W3CDTF">2013-12-23T23:15:00Z</dcterms:modified>
  <cp:category/>
</cp:coreProperties>
</file>