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Abschnitt 2</w:t>
      </w:r>
    </w:p>
    <w:p>
      <w:pPr>
        <w:pStyle w:val="Title"/>
      </w:pPr>
      <w:r>
        <w:t>Programmbezogene Befunde und ihre wissenschaftliche Einordnung</w:t>
      </w:r>
    </w:p>
    <w:p>
      <w:r>
        <w:t>Die nachfolgenden Darlegungen führen die tatsächlichen Untersuchungsbestände selbst in die Begründung ein. Sie beschränken sich nicht auf die Mitteilung, es gebe Gutachten. Für jeden Bestand werden Untersuchungsgegenstand, Datenumfang, Ergebnis, methodischer Aussagegehalt und konkrete Folgerung für die weitere Aufklärung angegeben. Die Bezeichnungen S und E beziehen sich auf das gemeinsame Quellenregister. S bezeichnet bereitgestellte Originalarbeiten; E bezeichnet zusätzlich erschlossene externe Originalquellen. D bezeichnet die in dieser Fassung tatsächlich vorgenommene technische Nachrechnung des Rundfunkalarm-Exports. Eigene Berechnungen werden von berichteten Ergebnissen unterschieden.</w:t>
      </w:r>
    </w:p>
    <w:p>
      <w:r>
        <w:t>Die Klägerseite stützt sich auf mehrere sachlich verschiedene Erkenntnisse: eine historische Themenauswertung der Tagesschau, eine langjährige Untersuchung institutionell ausgewählter Kommentare, eine technische Erfassung von O-Ton-Einbindungen, eine quantitative Untersuchung der Ukraine-Berichterstattung und konkret dokumentierte Beschwerde- und Abhilfevorgänge. Zusammen bezeichnen diese Arbeiten prüfbare Ausschnitte. Sie werden nicht durch bloße Addition zu einer repräsentativen Gesamtstudie erklärt. Der positive Vortrag besteht vielmehr in den jeweils bestimmten Feststellungen und den nachfolgend ausformulierten Zusammenhängen.</w:t>
      </w:r>
    </w:p>
    <w:p>
      <w:pPr>
        <w:pStyle w:val="Heading2"/>
      </w:pPr>
      <w:r>
        <w:t>2.1 Vier unterschiedliche Gegenstände, die nicht verwechselt werden dürfen</w:t>
      </w:r>
    </w:p>
    <w:p>
      <w:r>
        <w:t>Eine Untersuchung der Themenverteilung beantwortet, worüber berichtet wird. Eine Untersuchung der Akteursverteilung beantwortet, wer erkennbar vorkommt. Eine Untersuchung des Inhalts beantwortet, welche Aussagen, Begründungen und Einordnungen veröffentlicht werden. Eine Untersuchung des Beschwerdewegs beantwortet, wie eine konkrete Beanstandung geprüft und gegebenenfalls korrigiert wird. Diese Gegenstände ergänzen sich, sind aber nicht austauschbar. Insbesondere beweist die Zahl einer Parteierwähnung weder die Richtigkeit des Berichts noch eine redaktionelle Absicht; eine begründete Beschwerde zu einem Beitrag beweist nicht die Verfehlung des Gesamtangebots.</w:t>
      </w:r>
    </w:p>
    <w:p>
      <w:r>
        <w:t>Die Klägerseite verwendet deshalb einen sachbezogenen Prüfansatz. Sie untersucht nicht, ob ein Programm ihren politischen Präferenzen entspricht. Geprüft werden soll, ob relevante Themen und tragfähige Gegenargumente über längere Zeit in einer Weise verengt werden, die unter Berücksichtigung der Eigenart des jeweiligen Formats, der Ereignislage und möglicher Ausgleichsangebote ein regelmäßiges erhebliches Defizit erkennen lässt. Dafür sind Gegenbeispiele nicht störend, sondern erforderlich: Sie zeigen, ob sich eine behauptete Regelmäßigkeit tatsächlich hält.</w:t>
      </w:r>
    </w:p>
    <w:p>
      <w:r>
        <w:t>Die Unterscheidung folgt zugleich aus dem gerichtlichen Maßstab. Das Bundesverwaltungsgericht verlangt weder ein in jeder Minute ideales Programm noch gleiches Gewicht für jede Auffassung. Eine methodische Messung kann daher nicht aus jeder Abweichung von Gleichverteilung einen Rechtsverstoß ableiten. Sie muss den behaupteten Mangel so beschreiben, dass zwischen zulässiger journalistischer Auswahl und dem geltend gemachten strukturellen Defizit unterschieden werden kann. [R01, Rn. 36-48]</w:t>
      </w:r>
    </w:p>
    <w:p>
      <w:pPr>
        <w:pStyle w:val="Heading2"/>
      </w:pPr>
      <w:r>
        <w:t>2.2 Übersicht der tatsächlich erschlossenen Untersuchungsbestände</w:t>
      </w:r>
    </w:p>
    <w:p>
      <w:r>
        <w:t>Die folgende Übersicht bezeichnet den vorhandenen Bestand. Sie vermeidet die frühere bloße Aufzählung von Autorennamen. Die in Abschnitt 1 bestimmte Beitragsperiode bleibt maßgeblich; ein später veröffentlichter Bericht ist verwendbar, wenn er passende frühere Inhalte untersucht. Ein Bericht über spätere Sendungen ist dagegen nur mit einer zusätzlichen Begründung als Vergleichsmaterial heranzuziehen.</w:t>
      </w:r>
    </w:p>
    <w:tbl>
      <w:tblPr>
        <w:tblW w:type="auto" w:w="0"/>
        <w:jc w:val="center"/>
        <w:tblLayout w:type="fixed"/>
        <w:tblLook w:firstColumn="1" w:firstRow="1" w:lastColumn="0" w:lastRow="0" w:noHBand="0" w:noVBand="1" w:val="04A0"/>
      </w:tblPr>
      <w:tblGrid>
        <w:gridCol w:w="1247"/>
        <w:gridCol w:w="2665"/>
        <w:gridCol w:w="2551"/>
        <w:gridCol w:w="2494"/>
      </w:tblGrid>
      <w:tr>
        <w:trPr>
          <w:tblHeader/>
          <w:cantSplit/>
        </w:trPr>
        <w:tc>
          <w:tcPr>
            <w:tcW w:type="dxa" w:w="124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Quelle</w:t>
            </w:r>
          </w:p>
        </w:tc>
        <w:tc>
          <w:tcPr>
            <w:tcW w:type="dxa" w:w="266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Tatsächlicher Gegenstand</w:t>
            </w:r>
          </w:p>
        </w:tc>
        <w:tc>
          <w:tcPr>
            <w:tcW w:type="dxa" w:w="255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Umfang / Abdeckung</w:t>
            </w:r>
          </w:p>
        </w:tc>
        <w:tc>
          <w:tcPr>
            <w:tcW w:type="dxa" w:w="249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Funktion hier</w:t>
            </w:r>
          </w:p>
        </w:tc>
      </w:tr>
      <w:tr>
        <w:trPr>
          <w:cantSplit/>
        </w:trPr>
        <w:tc>
          <w:tcPr>
            <w:tcW w:type="dxa" w:w="124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S06 Müller</w:t>
            </w:r>
          </w:p>
        </w:tc>
        <w:tc>
          <w:tcPr>
            <w:tcW w:type="dxa" w:w="26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Themen und Behandlung von Corona in Tagesschau 20 Uhr</w:t>
            </w:r>
          </w:p>
        </w:tc>
        <w:tc>
          <w:tcPr>
            <w:tcW w:type="dxa" w:w="255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2.144 Beiträge; davon 772 Corona; Jan.-Aug. 2020</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Historischer, inhaltlich bestimmter Teilkorpus</w:t>
            </w:r>
          </w:p>
        </w:tc>
      </w:tr>
      <w:tr>
        <w:trPr>
          <w:cantSplit/>
        </w:trPr>
        <w:tc>
          <w:tcPr>
            <w:tcW w:type="dxa" w:w="124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S07 Glashaus</w:t>
            </w:r>
          </w:p>
        </w:tc>
        <w:tc>
          <w:tcPr>
            <w:tcW w:type="dxa" w:w="26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Gekennzeichnete Tagesthemen-Kommentare</w:t>
            </w:r>
          </w:p>
        </w:tc>
        <w:tc>
          <w:tcPr>
            <w:tcW w:type="dxa" w:w="255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2.911 Segmente aus 5.597 Folgen; 2010-2025</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Langfristige Auswahlstruktur; Validierung getrennt</w:t>
            </w:r>
          </w:p>
        </w:tc>
      </w:tr>
      <w:tr>
        <w:trPr>
          <w:cantSplit/>
        </w:trPr>
        <w:tc>
          <w:tcPr>
            <w:tcW w:type="dxa" w:w="124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S08 O-Ton</w:t>
            </w:r>
          </w:p>
        </w:tc>
        <w:tc>
          <w:tcPr>
            <w:tcW w:type="dxa" w:w="26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Erkannte Namens-/Parteizeilen in vier Nachrichtenformaten</w:t>
            </w:r>
          </w:p>
        </w:tc>
        <w:tc>
          <w:tcPr>
            <w:tcW w:type="dxa" w:w="255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763 Ausgaben; 1.955 Einbindungen; unterschiedliche Zeitfenster</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Deskriptive Sichtbarkeit und konkrete Abrufbegrenzungen</w:t>
            </w:r>
          </w:p>
        </w:tc>
      </w:tr>
      <w:tr>
        <w:trPr>
          <w:cantSplit/>
        </w:trPr>
        <w:tc>
          <w:tcPr>
            <w:tcW w:type="dxa" w:w="124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E10 Maurer/Haßler/Jost</w:t>
            </w:r>
          </w:p>
        </w:tc>
        <w:tc>
          <w:tcPr>
            <w:tcW w:type="dxa" w:w="26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Ukraine-Berichterstattung in acht Medien</w:t>
            </w:r>
          </w:p>
        </w:tc>
        <w:tc>
          <w:tcPr>
            <w:tcW w:type="dxa" w:w="255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4.292 Beiträge; 24.02.-31.05.2022</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Originale quantitative Untersuchung; Medienunterschiede</w:t>
            </w:r>
          </w:p>
        </w:tc>
      </w:tr>
      <w:tr>
        <w:trPr>
          <w:cantSplit/>
        </w:trPr>
        <w:tc>
          <w:tcPr>
            <w:tcW w:type="dxa" w:w="124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S10 Jeitner</w:t>
            </w:r>
          </w:p>
        </w:tc>
        <w:tc>
          <w:tcPr>
            <w:tcW w:type="dxa" w:w="26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Vergleiche mehrerer Themenfelder</w:t>
            </w:r>
          </w:p>
        </w:tc>
        <w:tc>
          <w:tcPr>
            <w:tcW w:type="dxa" w:w="255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42-seitige Ausarbeitung, 12.04.2025</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Benannte Vergleichsansätze, nicht eigenständiger Gesamtzensus</w:t>
            </w:r>
          </w:p>
        </w:tc>
      </w:tr>
      <w:tr>
        <w:trPr>
          <w:cantSplit/>
        </w:trPr>
        <w:tc>
          <w:tcPr>
            <w:tcW w:type="dxa" w:w="124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D01-D03 / E21</w:t>
            </w:r>
          </w:p>
        </w:tc>
        <w:tc>
          <w:tcPr>
            <w:tcW w:type="dxa" w:w="26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Beschwerdevorgänge und bestimmter Kontrollfall</w:t>
            </w:r>
          </w:p>
        </w:tc>
        <w:tc>
          <w:tcPr>
            <w:tcW w:type="dxa" w:w="255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4.086 Zeilen; drei gezielte Gruppen</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Technisch geprüfte Aktivität, fallbezogene Ergebnisquellen</w:t>
            </w:r>
          </w:p>
        </w:tc>
      </w:tr>
    </w:tbl>
    <w:p>
      <w:pPr>
        <w:spacing w:after="0"/>
      </w:pPr>
    </w:p>
    <w:p>
      <w:r>
        <w:t>Die Arbeiten werden nicht als voneinander unabhängige Bestätigung gezählt, soweit sie dasselbe Ausgangsmaterial erneut referieren. Das V-Gutachten und das Kurzgutachten schaffen insbesondere keine zusätzlichen Sendungsbeobachtungen dadurch, dass sie Müller, Jeitner oder andere Studien besprechen. Ihre Funktion liegt in der rechtlichen und methodischen Verbindung. Die Tatsachenfundstellen bleiben die bezeichneten Originaluntersuchungen.</w:t>
      </w:r>
    </w:p>
    <w:p>
      <w:pPr>
        <w:pStyle w:val="Heading2"/>
      </w:pPr>
      <w:r>
        <w:t>2.3 Müller: Untersuchungsrahmen und vollständig bezeichnete Zählgrundlage</w:t>
      </w:r>
    </w:p>
    <w:p>
      <w:r>
        <w:t>Die gutachterliche Stellungnahme von Prof. Dr. Werner Müller vom 3. März 2026 untersucht die 20-Uhr-Tagesschau vom 1. Januar bis zum 31. August 2020. Die Arbeit besteht nicht nur aus einer zusammenfassenden Wertung. Sie enthält eine Sendungsthemenliste und gesonderte Datentabellen zu den Abbildungen. Der quantitativ beschriebene Ausschnitt umfasst 2.144 Beiträge. Davon ordnet der Verfasser 772 dem Thema Corona, 606 dem Inland, 610 dem Ausland, 106 dem Sport und 50 den Nachrufen zu. Diese Zahlen werden als Angaben der Originalarbeit eingeführt; eine vollständige erneute Sichtung aller Ursprungsvideos wird nicht behauptet. [S06, PDF-S. 6; Dokumentation ab PDF-S. 27]</w:t>
      </w:r>
    </w:p>
    <w:p>
      <w:r>
        <w:t>Innerhalb der 772 Corona-Beiträge verwendet die Arbeit sieben Kategorien. Die Anteile der nachfolgenden Tabelle sind in dieser Fassung aus den angegebenen absoluten Werten nachgerechnet. Die Summe der Kategorien beträgt 772; dadurch ist die rechnerische Abgrenzung dieses Teilkorpus nachvollziehbar. Eine methodische Bestätigung der ursprünglichen Kategorienzuordnung ist mit dieser Addition nicht verbunden.</w:t>
      </w:r>
    </w:p>
    <w:tbl>
      <w:tblPr>
        <w:tblW w:type="auto" w:w="0"/>
        <w:jc w:val="center"/>
        <w:tblLayout w:type="fixed"/>
        <w:tblLook w:firstColumn="1" w:firstRow="1" w:lastColumn="0" w:lastRow="0" w:noHBand="0" w:noVBand="1" w:val="04A0"/>
      </w:tblPr>
      <w:tblGrid>
        <w:gridCol w:w="4649"/>
        <w:gridCol w:w="1701"/>
        <w:gridCol w:w="2608"/>
      </w:tblGrid>
      <w:tr>
        <w:trPr>
          <w:tblHeader/>
          <w:cantSplit/>
        </w:trPr>
        <w:tc>
          <w:tcPr>
            <w:tcW w:type="dxa" w:w="464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Kategorie nach S06</w:t>
            </w:r>
          </w:p>
        </w:tc>
        <w:tc>
          <w:tcPr>
            <w:tcW w:type="dxa" w:w="170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Berichtete Anzahl</w:t>
            </w:r>
          </w:p>
        </w:tc>
        <w:tc>
          <w:tcPr>
            <w:tcW w:type="dxa" w:w="260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Nachgerechnet: Anteil an 772</w:t>
            </w:r>
          </w:p>
        </w:tc>
      </w:tr>
      <w:tr>
        <w:trPr>
          <w:cantSplit/>
        </w:trPr>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Maßnahmen</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224</w:t>
            </w:r>
          </w:p>
        </w:tc>
        <w:tc>
          <w:tcPr>
            <w:tcW w:type="dxa" w:w="260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29,02 %</w:t>
            </w:r>
          </w:p>
        </w:tc>
      </w:tr>
      <w:tr>
        <w:trPr>
          <w:cantSplit/>
        </w:trPr>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Gefahr</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113</w:t>
            </w:r>
          </w:p>
        </w:tc>
        <w:tc>
          <w:tcPr>
            <w:tcW w:type="dxa" w:w="260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14,64 %</w:t>
            </w:r>
          </w:p>
        </w:tc>
      </w:tr>
      <w:tr>
        <w:trPr>
          <w:cantSplit/>
        </w:trPr>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Ausland</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219</w:t>
            </w:r>
          </w:p>
        </w:tc>
        <w:tc>
          <w:tcPr>
            <w:tcW w:type="dxa" w:w="260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28,37 %</w:t>
            </w:r>
          </w:p>
        </w:tc>
      </w:tr>
      <w:tr>
        <w:trPr>
          <w:cantSplit/>
        </w:trPr>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Proteste</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30</w:t>
            </w:r>
          </w:p>
        </w:tc>
        <w:tc>
          <w:tcPr>
            <w:tcW w:type="dxa" w:w="260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3,89 %</w:t>
            </w:r>
          </w:p>
        </w:tc>
      </w:tr>
      <w:tr>
        <w:trPr>
          <w:cantSplit/>
        </w:trPr>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Diskussion</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48</w:t>
            </w:r>
          </w:p>
        </w:tc>
        <w:tc>
          <w:tcPr>
            <w:tcW w:type="dxa" w:w="260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6,22 %</w:t>
            </w:r>
          </w:p>
        </w:tc>
      </w:tr>
      <w:tr>
        <w:trPr>
          <w:cantSplit/>
        </w:trPr>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Wirtschaft und Hilfen</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121</w:t>
            </w:r>
          </w:p>
        </w:tc>
        <w:tc>
          <w:tcPr>
            <w:tcW w:type="dxa" w:w="260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15,67 %</w:t>
            </w:r>
          </w:p>
        </w:tc>
      </w:tr>
      <w:tr>
        <w:trPr>
          <w:cantSplit/>
        </w:trPr>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Impfung etc.</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w:t>
            </w:r>
          </w:p>
        </w:tc>
        <w:tc>
          <w:tcPr>
            <w:tcW w:type="dxa" w:w="260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2,20 %</w:t>
            </w:r>
          </w:p>
        </w:tc>
      </w:tr>
      <w:tr>
        <w:trPr>
          <w:cantSplit/>
        </w:trPr>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772</w:t>
            </w:r>
          </w:p>
        </w:tc>
        <w:tc>
          <w:tcPr>
            <w:tcW w:type="dxa" w:w="260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100,00 %</w:t>
            </w:r>
          </w:p>
        </w:tc>
      </w:tr>
    </w:tbl>
    <w:p>
      <w:pPr>
        <w:spacing w:after="0"/>
      </w:pPr>
    </w:p>
    <w:p>
      <w:r>
        <w:t>Die Zusammenfassung der Stellungnahme nennt zugleich einen Corona-Anteil von 34 Prozent. Aus 772 dividiert durch 2.144 ergeben sich dagegen rund 36,0 Prozent. Diese Abweichung wird ausdrücklich offengelegt. Sie lässt sich ohne Erläuterung des Verfassers nicht durch ein stilles Ersetzen des einen Wertes beseitigen. Für die hiesige Darlegung werden deshalb die bezeichneten absoluten Zahlen und die daraus berechneten Anteile verwendet; der abweichende Zusammenfassungswert wird nicht als bestätigte Kennzahl weitergetragen. [S06, PDF-S. 4 und 6]</w:t>
      </w:r>
    </w:p>
    <w:p>
      <w:r>
        <w:t>Der Erkenntnisgewinn besteht bereits darin, dass die Arbeit den damaligen Themenraum in einen benannten Korpus und nachvollziehbare Teilmengen zerlegt. Der Vortrag richtet sich nicht auf das unbestimmte Empfinden, Corona sei zu häufig vorgekommen. Er richtet sich auf die Frage, wie innerhalb eines umfangreichen Themenblocks Informationen, Gegenargumente und Einordnungen verteilt waren. Die Häufigkeit des Themas allein entscheidet diese Frage noch nicht.</w:t>
      </w:r>
    </w:p>
    <w:p>
      <w:pPr>
        <w:pStyle w:val="Heading2"/>
      </w:pPr>
      <w:r>
        <w:t>2.4 Müller: konkrete positive Befunde und ihre begrenzte Übernahme</w:t>
      </w:r>
    </w:p>
    <w:p>
      <w:r>
        <w:t>Der Verfasser unterscheidet selbst zwischen bloßer Information über geltende Maßnahmen und einer einseitigen Behandlung der Kontroverse. Zu den 224 Maßnahmenbeiträgen führt er aus, die Wiedergabe amtlicher Regeln und ihrer Begründung könne in diesem Zusammenhang angemessen sein. Dies ist ein wesentlicher Bestandteil der Originalargumentation: Nicht jeder Bezug auf amtliche Quellen wird bereits als Fehler behandelt. [S06, PDF-S. 9, Abschn. 2.1]</w:t>
      </w:r>
    </w:p>
    <w:p>
      <w:r>
        <w:t>Seine weitergehende Kritik betrifft vor allem die Auswahl der Quellen im Gefahrenblock, die Darstellung unterschiedlicher Vorgehensweisen im Ausland und den Inhalt der als Diskussion erfassten Beiträge. Für den Auslandsblock behauptet die Arbeit beispielsweise, dass innerhalb der 219 gezählten Beiträge kein Beitrag das dort als Gegenmodell bezeichnete Schweden behandelt habe. Das ist eine bestimmte negative Tatsachenbehauptung zu einem bestimmbaren Korpus, nicht lediglich ein Werturteil. Sie bedarf des Abgleichs mit den betreffenden Beiträgen; die weitreichenden Deutungen des Verfassers zu den redaktionellen Motiven werden davon getrennt. [S06, PDF-S. 9-10]</w:t>
      </w:r>
    </w:p>
    <w:p>
      <w:r>
        <w:t>Die Kategorien Diskussion und Proteste umfassen nach der Arbeit zusammen 78 Beiträge. Die Größe dieser Teilmenge belegt nicht, dass Kritik in den übrigen Kategorien fehlte. Sie bezeichnet aber einen handhabbaren Prüfbestand: Es kann untersucht werden, welche konkrete Kritik darin vorgestellt wurde, ob sie argumentativ wiedergegeben oder nur als Ereignis erwähnt wurde und ob Gegeneinwände sachlich zutrafen. Eine Aufklärung lässt sich damit auf bestimmte Inhalte richten, statt ein Gutachten zur allgemeinen Frage zu verlangen, ob der Rundfunk einseitig sei.</w:t>
      </w:r>
    </w:p>
    <w:p>
      <w:r>
        <w:t>Die Klägerseite macht sich nicht sämtliche medizinischen, epidemiologischen oder kausalen Aussagen der Stellungnahme zu eigen. Ob eine damals diskutierte Behauptung fachlich tragfähig war, muss anhand des damaligen Erkenntnisstands und geeigneter Fachquellen beurteilt werden. Die medienbezogene Frage ist, ob relevante tatsächliche Kontroversen zutreffend dargestellt wurden. Sie ist nicht gleichbedeutend mit dem Anspruch, jede fachlich nicht abgesicherte Gegenbehauptung gleichgewichtig zu verbreiten.</w:t>
      </w:r>
    </w:p>
    <w:p>
      <w:r>
        <w:t>Aus diesen Befunden ergibt sich ein bestimmter Aufklärungsgegenstand: die Nachprüfung der Kategorienzuordnung und der behaupteten Perspektivenverengung im bezeichneten historischen Teilkorpus. Nicht abgeleitet wird bereits ein Befund zu allen Anstalten, allen Medienarten oder beliebigen späteren Beitragsjahren. Das Ende im August 2020 lässt eine zeitliche Lücke gegenüber einer mindestens zweijährigen Gesamtbetrachtung offen. Diese Lücke wird in der Zeitmatrix sichtbar gemacht und nicht durch die Seitenzahl der Stellungnahme verdeckt.</w:t>
      </w:r>
    </w:p>
    <w:p>
      <w:pPr>
        <w:pStyle w:val="Heading2"/>
      </w:pPr>
      <w:r>
        <w:t>2.5 Glashaus: langjähriger Korpus statt einzelner Kommentar</w:t>
      </w:r>
    </w:p>
    <w:p>
      <w:r>
        <w:t>Das Whitepaper der Glashaus Technologies gGmbH i.G. vom 25. Juni 2026 beschreibt eine Auswertung von 5.597 Tagesthemen-Folgen im Zeitraum vom 26. April 2010 bis zum 13. November 2025. Darin wurden 2.911 verifizierte Kommentarsegmente erfasst, aus denen 16.226 gültige Einzelbewertungen zu den jeweils zugeordneten Wahlprogrammen entstanden. Die 16.226 Werte sind keine ebenso große Zahl voneinander unabhängiger Kommentare: Ein Kommentar kann mehrere Referenzbewertungen erzeugen. Nachrichtenbeiträge sind ausdrücklich nicht Gegenstand dieser Arbeit. [S07, S. 1-2 und 6-7]</w:t>
      </w:r>
    </w:p>
    <w:p>
      <w:r>
        <w:t>Die Klägerseite führt damit einen über viele Jahre abgegrenzten redaktionellen Auswahlbestand ein. Für die gegenständliche Einordnung ist entscheidend, dass institutionell verantwortete Meinungsbeiträge untersucht werden. Die Zulässigkeit einer erkennbar als Meinung gekennzeichneten Einzeläußerung beantwortet nicht automatisch die andere Frage, welche Bandbreite die Gesamtheit der ausgewählten Kommentare über längere Zeit aufweist. Diese Aggregationsfrage ist vom Anspruch auf einen neutralen Einzelkommentar zu unterscheiden.</w:t>
      </w:r>
    </w:p>
    <w:p>
      <w:r>
        <w:t>Die Originalarbeit weist zehn Themenkategorien aus. Ihre Verteilung ist im Schriftsatz wiedergegeben, weil sie den tatsächlichen Untersuchungsgegenstand besser beschreibt als die bloße Zahl von 2.911 Kommentaren. Die Zahlen der Tabelle stammen aus Anhang C des Whitepapers; die Summen wurden nachgerechnet.</w:t>
      </w:r>
    </w:p>
    <w:tbl>
      <w:tblPr>
        <w:tblW w:type="auto" w:w="0"/>
        <w:jc w:val="center"/>
        <w:tblLayout w:type="fixed"/>
        <w:tblLook w:firstColumn="1" w:firstRow="1" w:lastColumn="0" w:lastRow="0" w:noHBand="0" w:noVBand="1" w:val="04A0"/>
      </w:tblPr>
      <w:tblGrid>
        <w:gridCol w:w="5216"/>
        <w:gridCol w:w="1701"/>
        <w:gridCol w:w="2041"/>
      </w:tblGrid>
      <w:tr>
        <w:trPr>
          <w:tblHeader/>
          <w:cantSplit/>
        </w:trPr>
        <w:tc>
          <w:tcPr>
            <w:tcW w:type="dxa" w:w="5216"/>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Themenfeld nach S07</w:t>
            </w:r>
          </w:p>
        </w:tc>
        <w:tc>
          <w:tcPr>
            <w:tcW w:type="dxa" w:w="170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Segmente gesamt</w:t>
            </w:r>
          </w:p>
        </w:tc>
        <w:tc>
          <w:tcPr>
            <w:tcW w:type="dxa" w:w="204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Davon Wahlkampffenster</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Außenpolitik und Verteidigung</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620</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43</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Wirtschaft und Arbeitsmarkt</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352</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17</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Migration und Asyl</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279</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Justiz, innere Sicherheit und Polizei</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279</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12</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Gesellschaft und Bildung</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136</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9</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Soziales, Rente und Gesundheit</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133</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8</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Klima und Energie</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133</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Steuern und Finanzen</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63</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Bürgerrechte und Datenschutz</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37</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Sonstiges</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879</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53</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2911</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178</w:t>
            </w:r>
          </w:p>
        </w:tc>
      </w:tr>
    </w:tbl>
    <w:p>
      <w:pPr>
        <w:spacing w:after="0"/>
      </w:pPr>
    </w:p>
    <w:p>
      <w:r>
        <w:t>Die Restkategorie umfasst 879 Segmente und damit rund 30,2 Prozent des Korpus. Die Themenverteilung hat Folgen für die Verwendung: Ein Gesamtmittel wird erheblich von der Mischung unterschiedlicher Sachgebiete beeinflusst. Eine abweichende Kommentierung in einem einzelnen Feld kann darin verdeckt oder durch eine geänderte Themenmischung scheinbar erzeugt werden. Die von der Arbeit getrennt dargestellten Themen sind deshalb keine dekorative Ergänzung, sondern für eine sachgerechte Interpretation wesentlich.</w:t>
      </w:r>
    </w:p>
    <w:p>
      <w:pPr>
        <w:pStyle w:val="Heading2"/>
      </w:pPr>
      <w:r>
        <w:t>2.6 Glashaus: Messverfahren, berichtetes Ergebnis und gerichtliche Bedeutung</w:t>
      </w:r>
    </w:p>
    <w:p>
      <w:r>
        <w:t>Die beschriebene Verarbeitung umfasst die Identifikation des Kommentarsegments, die thematische Zuordnung, den Abgleich mit dem zum Sendungsdatum aktiven Referenzprogramm und die Bewertung durch mehrere Sprachmodelle. Das Verfahren misst inhaltliche Nähe zu Referenztexten. Es misst nicht unmittelbar Wahrheit, journalistische Sorgfalt oder die gesamte Meinungsvielfalt des Rundfunks. Die Originalarbeit berichtet ein zeitlich stabiles asymmetrisches Muster innerhalb dieses Messmodells. Im Schriftsatz wird daraus weder eine normative Parteienrangfolge noch ein Nachweis politischer Steuerung gemacht. [S07, S. 7 und 12-14]</w:t>
      </w:r>
    </w:p>
    <w:p>
      <w:r>
        <w:t>Der konkret nutzbare Befund liegt in der behaupteten zeitlichen Stabilität eines mit denselben Regeln untersuchten Auswahlbestands. Das unterscheidet die Arbeit von einer Liste weniger auffälliger Kommentare. Ihre gerichtliche Verwendung setzt aber voraus, dass der Messwert tatsächlich dasjenige Merkmal erfasst, aus dem der rechtliche Schluss gezogen werden soll. Eine hohe semantische Übereinstimmung mit einem Referenzprogramm kann schon durch die behandelte Sachfrage entstehen. Sie beweist nicht, dass eine Redaktion sich an einer Partei orientiert hat.</w:t>
      </w:r>
    </w:p>
    <w:p>
      <w:r>
        <w:t>Die Referenzprogramme wechseln zudem über die Jahre. Eine Veränderung des Messwerts kann auf veränderte Kommentare, veränderte Referenztexte oder deren Zusammenspiel zurückgehen. Die Originalarbeit regelt diese Zuordnung sendungsbezogen und weist für eine erst später einbezogene Partei einen abweichenden Beginn aus. Damit ist für einen historischen Vergleich die Zahl der jeweils gültigen Referenzbewertungen zu kontrollieren. Ungültige oder mangels Referenz fehlende Werte dürfen nicht wie eine inhaltlich neutrale Beobachtung gerechnet werden. [S07, Anhang A.2 und B]</w:t>
      </w:r>
    </w:p>
    <w:p>
      <w:r>
        <w:t>Die Originalarbeit verwendet Nullwerte zugleich für fehlenden erkennbaren Programmbezug beziehungsweise einen konservativen Fehlermodus. Für die gerichtliche Interpretation muss daher geklärt werden, ob ein Nullwert einen sachlichen Nichtbezug oder einen technischen Nichterfolg bezeichnet. Werden beide vermischt, kann sich der Eindruck eines durchschnittlich neutralen Kommentars ergeben, obwohl der Messvorgang nur keine Zuordnung ermöglichte. Dieser Punkt ist ein konkret benanntes Validierungsthema, nicht der pauschale Einwand, KI könne grundsätzlich keine Inhalte analysieren.</w:t>
      </w:r>
    </w:p>
    <w:p>
      <w:r>
        <w:t>Die Klägerseite verlangt deshalb keine gerichtliche Übernahme des Bewertungssystems. Sie regt dessen fachliche Einordnung im Hinblick auf einen bestimmten historischen Ausschnitt an: Eignen sich die Segmentauswahl und Referenzzuordnung dazu, die Bandbreite institutionell ausgewählter Standpunkte zu beschreiben, und welche zusätzliche menschliche Kodierung ist notwendig, um aus dem technischen Ergebnis eine belastbare Aussage über Perspektivenvielfalt abzuleiten? Die Antwort ist eine sachverständige Methodenfrage; die Rechtsfolge bleibt dem Gericht vorbehalten.</w:t>
      </w:r>
    </w:p>
    <w:p>
      <w:pPr>
        <w:pStyle w:val="Heading2"/>
      </w:pPr>
      <w:r>
        <w:t>2.7 Glashaus: bereits enthaltene Kontrollen und noch nicht nachgewiesene Validierung</w:t>
      </w:r>
    </w:p>
    <w:p>
      <w:r>
        <w:t>Im Anhang sind unter anderem ein 180-Tage-Rollfenster mit mindestens 15 Folgen sowie ein Bootstrap-Verfahren mit 2.000 Wiederholungen und festem Startwert dokumentiert. Das macht bestimmte Rechenschritte beschreibbar. Ein statistisches Unsicherheitsverfahren kann jedoch nur die Unsicherheit unter seinen Modellannahmen behandeln. Ein systematischer Fehler der Segmenterkennung oder der inhaltlichen Bewertungsregel wird nicht dadurch beseitigt, dass auf denselben Werten viele Wiederholungsrechnungen ausgeführt werden. [S07, S. 14]</w:t>
      </w:r>
    </w:p>
    <w:p>
      <w:r>
        <w:t>Die Arbeit nennt 178 Kommentarsegmente in ihren Wahlkampffenstern gegenüber 2.733 außerhalb. Für den Gesamtvergleich erklärt sie die statistische Belastbarkeit selbst für eingeschränkt. Ein allgemeiner Wahleinfluss wird daraus in dieser Klage nicht abgeleitet. Die Wahlkampfabgrenzung dient hier lediglich der Beschreibung des Untersuchungsdesigns und einer möglichen Quelle unterschiedlicher Ereignislagen.</w:t>
      </w:r>
    </w:p>
    <w:p>
      <w:r>
        <w:t>Die vom Whitepaper selbst genannte fehlende unabhängige Kalibrierung der Modelle wird beibehalten. Eine Ensemble-Auswertung kann Zufallsschwankungen einzelner Modelle reduzieren; sie schließt gemeinsame systematische Fehler nicht aus. Die erforderliche Anschlussprüfung ist konkret: Eine nach offengelegter Regel ausgewählte Menge von Kommentaren ist am Ursprungstext beziehungsweise Video durch fachkundige Menschen zu kodieren. Anschließend sind die Modellzuordnungen mit dieser unabhängigen Kodierung zu vergleichen. Weder die Durchführung einer solchen neuen Kontrolle noch deren Ergebnis wird vorgetäuscht.</w:t>
      </w:r>
    </w:p>
    <w:p>
      <w:r>
        <w:t>Der Langzeitkorpus ist damit ein realer Erkenntnisbestand, nicht ein Beweis jeder aus ihm denkbaren Schlussfolgerung. Für das Verfahren liefert er einen konkret bezeichneten Untersuchungsansatz zu institutioneller Kommentarauswahl. Die noch benötigten Dateien sind Segmentliste, Zuordnung der Referenzprogramme, Bewertungsanweisungen, Modellspezifikationen und Einzelwerte im passenden Zeitraum. Das in Abschnitt 4 beschriebene Beweisangebot knüpft an genau diese Arbeitsschritte an.</w:t>
      </w:r>
    </w:p>
    <w:p>
      <w:pPr>
        <w:pStyle w:val="Heading2"/>
      </w:pPr>
      <w:r>
        <w:t>2.8 O-Ton-Bericht: tatsächliche Korpora und absolute Ergebnisse</w:t>
      </w:r>
    </w:p>
    <w:p>
      <w:r>
        <w:t>Der technische Bericht mit Dokumentstand 16. September 2026 untersucht O-Ton-Einbindungen mit erkannter Parteizuordnung in vier Nachrichtensendungen. Seine eigenen Tabellen weisen insgesamt 763 ausgewertete Ausgaben mit 1.955 Einbindungen aus. Diese beiden Summen sind hier aus den vier berichteten Teilmengen nachgerechnet. Die Teilmengen haben sehr unterschiedliche zeitliche Abdeckungen und werden deshalb nicht zu einer gemeinsamen Repräsentativitätsbehauptung zusammengezogen. [S08, S. 3-10]</w:t>
      </w:r>
    </w:p>
    <w:tbl>
      <w:tblPr>
        <w:tblW w:type="auto" w:w="0"/>
        <w:jc w:val="center"/>
        <w:tblLayout w:type="fixed"/>
        <w:tblLook w:firstColumn="1" w:firstRow="1" w:lastColumn="0" w:lastRow="0" w:noHBand="0" w:noVBand="1" w:val="04A0"/>
      </w:tblPr>
      <w:tblGrid>
        <w:gridCol w:w="2721"/>
        <w:gridCol w:w="1020"/>
        <w:gridCol w:w="1757"/>
        <w:gridCol w:w="3458"/>
      </w:tblGrid>
      <w:tr>
        <w:trPr>
          <w:tblHeader/>
          <w:cantSplit/>
        </w:trPr>
        <w:tc>
          <w:tcPr>
            <w:tcW w:type="dxa" w:w="272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Format</w:t>
            </w:r>
          </w:p>
        </w:tc>
        <w:tc>
          <w:tcPr>
            <w:tcW w:type="dxa" w:w="1020"/>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Ausgaben</w:t>
            </w:r>
          </w:p>
        </w:tc>
        <w:tc>
          <w:tcPr>
            <w:tcW w:type="dxa" w:w="175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Einbindungen</w:t>
            </w:r>
          </w:p>
        </w:tc>
        <w:tc>
          <w:tcPr>
            <w:tcW w:type="dxa" w:w="345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Im Bericht genannter Zeitraum</w:t>
            </w:r>
          </w:p>
        </w:tc>
      </w:tr>
      <w:tr>
        <w:trPr>
          <w:cantSplit/>
        </w:trPr>
        <w:tc>
          <w:tcPr>
            <w:tcW w:type="dxa" w:w="272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Tagesschau 20 Uhr</w:t>
            </w:r>
          </w:p>
        </w:tc>
        <w:tc>
          <w:tcPr>
            <w:tcW w:type="dxa" w:w="1020"/>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354</w:t>
            </w:r>
          </w:p>
        </w:tc>
        <w:tc>
          <w:tcPr>
            <w:tcW w:type="dxa" w:w="175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780</w:t>
            </w:r>
          </w:p>
        </w:tc>
        <w:tc>
          <w:tcPr>
            <w:tcW w:type="dxa" w:w="345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03.09.2025-03.09.2026</w:t>
            </w:r>
          </w:p>
        </w:tc>
      </w:tr>
      <w:tr>
        <w:trPr>
          <w:cantSplit/>
        </w:trPr>
        <w:tc>
          <w:tcPr>
            <w:tcW w:type="dxa" w:w="272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ZDF heute 19 Uhr</w:t>
            </w:r>
          </w:p>
        </w:tc>
        <w:tc>
          <w:tcPr>
            <w:tcW w:type="dxa" w:w="1020"/>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364</w:t>
            </w:r>
          </w:p>
        </w:tc>
        <w:tc>
          <w:tcPr>
            <w:tcW w:type="dxa" w:w="175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1049</w:t>
            </w:r>
          </w:p>
        </w:tc>
        <w:tc>
          <w:tcPr>
            <w:tcW w:type="dxa" w:w="345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03.09.2025-03.09.2026</w:t>
            </w:r>
          </w:p>
        </w:tc>
      </w:tr>
      <w:tr>
        <w:trPr>
          <w:cantSplit/>
        </w:trPr>
        <w:tc>
          <w:tcPr>
            <w:tcW w:type="dxa" w:w="272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BR24 18:30 Uhr</w:t>
            </w:r>
          </w:p>
        </w:tc>
        <w:tc>
          <w:tcPr>
            <w:tcW w:type="dxa" w:w="1020"/>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19</w:t>
            </w:r>
          </w:p>
        </w:tc>
        <w:tc>
          <w:tcPr>
            <w:tcW w:type="dxa" w:w="175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60</w:t>
            </w:r>
          </w:p>
        </w:tc>
        <w:tc>
          <w:tcPr>
            <w:tcW w:type="dxa" w:w="345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19.11.2025 sowie 17.08.-03.09.2026</w:t>
            </w:r>
          </w:p>
        </w:tc>
      </w:tr>
      <w:tr>
        <w:trPr>
          <w:cantSplit/>
        </w:trPr>
        <w:tc>
          <w:tcPr>
            <w:tcW w:type="dxa" w:w="272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hessenschau 19:30 Uhr</w:t>
            </w:r>
          </w:p>
        </w:tc>
        <w:tc>
          <w:tcPr>
            <w:tcW w:type="dxa" w:w="1020"/>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26</w:t>
            </w:r>
          </w:p>
        </w:tc>
        <w:tc>
          <w:tcPr>
            <w:tcW w:type="dxa" w:w="175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66</w:t>
            </w:r>
          </w:p>
        </w:tc>
        <w:tc>
          <w:tcPr>
            <w:tcW w:type="dxa" w:w="345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19.08.-17.09.2026; vier weitere Abrufe gesperrt</w:t>
            </w:r>
          </w:p>
        </w:tc>
      </w:tr>
      <w:tr>
        <w:trPr>
          <w:cantSplit/>
        </w:trPr>
        <w:tc>
          <w:tcPr>
            <w:tcW w:type="dxa" w:w="272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Summe der ungleichen Korpora</w:t>
            </w:r>
          </w:p>
        </w:tc>
        <w:tc>
          <w:tcPr>
            <w:tcW w:type="dxa" w:w="1020"/>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763</w:t>
            </w:r>
          </w:p>
        </w:tc>
        <w:tc>
          <w:tcPr>
            <w:tcW w:type="dxa" w:w="175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1955</w:t>
            </w:r>
          </w:p>
        </w:tc>
        <w:tc>
          <w:tcPr>
            <w:tcW w:type="dxa" w:w="345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Keine gemeinsame Vollabdeckung</w:t>
            </w:r>
          </w:p>
        </w:tc>
      </w:tr>
    </w:tbl>
    <w:p>
      <w:pPr>
        <w:spacing w:after="0"/>
      </w:pPr>
    </w:p>
    <w:p>
      <w:r>
        <w:t>Die folgende Tabelle gibt die absoluten berichteten Trefferzahlen alphabetisch nach Parteibezeichnung wieder. Sie ist eine Beschreibung des technischen Zählergebnisses, keine Bewertung von Parteien und keine Rangfolge journalistischer Angemessenheit. Ihre Spalten beziehen sich auf die jeweils vorstehend bezeichneten Korpora. Eine zeilenweise Addition über die vier unterschiedlich abgegrenzten Angebote wäre für eine Aussage zur Gesamtpräsenz methodisch nicht ohne Weiteres sinnvoll.</w:t>
      </w:r>
    </w:p>
    <w:tbl>
      <w:tblPr>
        <w:tblW w:type="auto" w:w="0"/>
        <w:jc w:val="center"/>
        <w:tblLayout w:type="fixed"/>
        <w:tblLook w:firstColumn="1" w:firstRow="1" w:lastColumn="0" w:lastRow="0" w:noHBand="0" w:noVBand="1" w:val="04A0"/>
      </w:tblPr>
      <w:tblGrid>
        <w:gridCol w:w="3061"/>
        <w:gridCol w:w="1474"/>
        <w:gridCol w:w="1474"/>
        <w:gridCol w:w="1304"/>
        <w:gridCol w:w="1644"/>
      </w:tblGrid>
      <w:tr>
        <w:trPr>
          <w:tblHeader/>
          <w:cantSplit/>
        </w:trPr>
        <w:tc>
          <w:tcPr>
            <w:tcW w:type="dxa" w:w="306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Parteibezeichnung</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Tagesschau</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ZDF heute</w:t>
            </w:r>
          </w:p>
        </w:tc>
        <w:tc>
          <w:tcPr>
            <w:tcW w:type="dxa" w:w="130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BR24</w:t>
            </w:r>
          </w:p>
        </w:tc>
        <w:tc>
          <w:tcPr>
            <w:tcW w:type="dxa" w:w="164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hessenschau</w:t>
            </w:r>
          </w:p>
        </w:tc>
      </w:tr>
      <w:tr>
        <w:trPr>
          <w:cantSplit/>
        </w:trPr>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AfD</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37</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88</w:t>
            </w:r>
          </w:p>
        </w:tc>
        <w:tc>
          <w:tcPr>
            <w:tcW w:type="dxa" w:w="130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w:t>
            </w:r>
          </w:p>
        </w:tc>
        <w:tc>
          <w:tcPr>
            <w:tcW w:type="dxa" w:w="164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w:t>
            </w:r>
          </w:p>
        </w:tc>
      </w:tr>
      <w:tr>
        <w:trPr>
          <w:cantSplit/>
        </w:trPr>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BSW</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20</w:t>
            </w:r>
          </w:p>
        </w:tc>
        <w:tc>
          <w:tcPr>
            <w:tcW w:type="dxa" w:w="130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64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Bündnis 90/Die Grünen</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104</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9</w:t>
            </w:r>
          </w:p>
        </w:tc>
        <w:tc>
          <w:tcPr>
            <w:tcW w:type="dxa" w:w="130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64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CDU/CSU</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547</w:t>
            </w:r>
          </w:p>
        </w:tc>
        <w:tc>
          <w:tcPr>
            <w:tcW w:type="dxa" w:w="130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39</w:t>
            </w:r>
          </w:p>
        </w:tc>
        <w:tc>
          <w:tcPr>
            <w:tcW w:type="dxa" w:w="164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w:t>
            </w:r>
          </w:p>
        </w:tc>
      </w:tr>
      <w:tr>
        <w:trPr>
          <w:cantSplit/>
        </w:trPr>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Die Linke</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65</w:t>
            </w:r>
          </w:p>
        </w:tc>
        <w:tc>
          <w:tcPr>
            <w:tcW w:type="dxa" w:w="130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64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w:t>
            </w:r>
          </w:p>
        </w:tc>
      </w:tr>
      <w:tr>
        <w:trPr>
          <w:cantSplit/>
        </w:trPr>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FDP</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18</w:t>
            </w:r>
          </w:p>
        </w:tc>
        <w:tc>
          <w:tcPr>
            <w:tcW w:type="dxa" w:w="130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64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w:t>
            </w:r>
          </w:p>
        </w:tc>
      </w:tr>
      <w:tr>
        <w:trPr>
          <w:cantSplit/>
        </w:trPr>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SPD</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189</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302</w:t>
            </w:r>
          </w:p>
        </w:tc>
        <w:tc>
          <w:tcPr>
            <w:tcW w:type="dxa" w:w="130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w:t>
            </w:r>
          </w:p>
        </w:tc>
        <w:tc>
          <w:tcPr>
            <w:tcW w:type="dxa" w:w="164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14</w:t>
            </w:r>
          </w:p>
        </w:tc>
      </w:tr>
      <w:tr>
        <w:trPr>
          <w:cantSplit/>
        </w:trPr>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780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1049</w:t>
            </w:r>
          </w:p>
        </w:tc>
        <w:tc>
          <w:tcPr>
            <w:tcW w:type="dxa" w:w="130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60</w:t>
            </w:r>
          </w:p>
        </w:tc>
        <w:tc>
          <w:tcPr>
            <w:tcW w:type="dxa" w:w="164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66</w:t>
            </w:r>
          </w:p>
        </w:tc>
      </w:tr>
    </w:tbl>
    <w:p>
      <w:pPr>
        <w:spacing w:after="0"/>
      </w:pPr>
    </w:p>
    <w:p>
      <w:r>
        <w:t>Die Zahlen zeigen unter anderem, dass selbst zwischen den beiden großen, ähnlich datierten Nachrichtenkorpora erhebliche Unterschiede in einzelnen erkannten Einbindungszahlen bestehen. Gerade dieser Befund verlangt eine methodische Prüfung: Er kann auf tatsächliche Formatunterschiede, auf unterschiedliche Erkennungsverfahren oder auf beides zurückgehen. Eine vorschnelle inhaltliche Wertung würde diesen Befund nicht stärken, sondern seine Ursachenfrage überspringen.</w:t>
      </w:r>
    </w:p>
    <w:p>
      <w:pPr>
        <w:pStyle w:val="Heading2"/>
      </w:pPr>
      <w:r>
        <w:t>2.9 O-Ton-Bericht: zwei Erkennungswege und ihre Folgen</w:t>
      </w:r>
    </w:p>
    <w:p>
      <w:r>
        <w:t>Bei der Tagesschau werden farbig markierte WebVTT-Untertitel zu Kandidatensegmenten verbunden; eine Unterbrechung von höchstens 1,5 Sekunden wird nach der Beschreibung noch zusammengefasst. Je Segment werden bis zu drei Bilder an unterschiedlichen Positionen entnommen. Die Namens- beziehungsweise Parteizeile wird per OCR gelesen. Ein Treffer wird je Segment und Partei als Einbindung gezählt. [S08, S. 7]</w:t>
      </w:r>
    </w:p>
    <w:p>
      <w:r>
        <w:t>Bei ZDF, BR24 und hessenschau beschreibt der Bericht dagegen ein Raster von einem Bild je sechs Sekunden. Aufeinanderfolgende gleiche Parteitreffer werden zu einem Ereignis zusammengefasst; eine Bildlücke wird zugelassen. Der untere Bildbereich wird mit RapidOCR verarbeitet. Das Verfahren erkennt damit nicht denselben technischen Gegenstand wie die untertitelgestützte Kandidatenauswahl der Tagesschau. [S08, S. 8-10]</w:t>
      </w:r>
    </w:p>
    <w:p>
      <w:r>
        <w:t>Hieraus folgen konkret prüfbare Fehlerarten. Eine nur sehr kurz sichtbare Einblendung kann zwischen zwei Rasterbildern liegen. Zwei aufeinanderfolgende Sprecher derselben Partei können bei ungeeigneter Zusammenfassung zu einem Ereignis verschmelzen. Ein Sprecher kann ohne Parteizeile auftreten und deshalb ungezählt bleiben. Eine eingeblendete Parteibezeichnung kann außerhalb eines tatsächlichen O-Tons vorkommen. Diese Möglichkeiten widerlegen die erfassten Zahlen nicht automatisch; sie bestimmen aber, welche menschlichen Kontrollbeobachtungen für einen Vergleich erforderlich sind.</w:t>
      </w:r>
    </w:p>
    <w:p>
      <w:r>
        <w:t>Die im Bericht enthaltene Fehlerspalte wird deshalb nicht als nachgewiesene OCR-Fehlerquote von null Prozent verwendet. Sie beschreibt nach dem Zusammenhang die dokumentierten Verarbeitungs- beziehungsweise Abruffehler. Eine erfolgreiche technische Verarbeitung ist von einer inhaltlich richtigen Erkennung zu unterscheiden. Auch die gesonderte Konsistenzprüfung durch ein zweites KI-System erklärt selbst, dass sie keine Nachprüfung der OCR am Originalvideo und keine menschliche Prüfung ersetzt. [S08, S. 16-17]</w:t>
      </w:r>
    </w:p>
    <w:p>
      <w:r>
        <w:t>Die gerichtliche Aussage lautet daher bestimmt: Der Bericht dokumentiert die bezeichneten Ergebnisse eines benannten Erkennungsverfahrens in benannten Korpora. Die entscheidende weitere Frage ist, mit welcher Empfindlichkeit und Fehlzuordnung dieses Verfahren O-Ton-Einbindungen erfasst. Diese Frage lässt sich durch einen begrenzten, nach Sender und Erkennungsweg geschichteten Videoabgleich untersuchen. Sie verlangt nicht sofort die Neuvermessung des gesamten Rundfunks.</w:t>
      </w:r>
    </w:p>
    <w:p>
      <w:pPr>
        <w:pStyle w:val="Heading2"/>
      </w:pPr>
      <w:r>
        <w:t>2.10 O-Ton-Bericht: tatsächliche Archivhinweise und historische Vergleichsgrenzen</w:t>
      </w:r>
    </w:p>
    <w:p>
      <w:r>
        <w:t>Für BR24 beschreibt der Bericht eine Auswahl vollständiger 18:30-Uhr-Ausgaben mit mindestens 600 Sekunden Dauer. Gefunden wurden eine Ausgabe vom 19. November 2025 und ein Block vom 17. August bis zum 3. September 2026. Für die hessenschau wurden 30 passende Ausgaben berichtet, von denen vier wegen einer geografischen Beschränkung nicht ausgewertet werden konnten. Diese Angaben bezeichnen den gewählten öffentlichen Abrufweg. Sie beweisen noch nicht, dass im internen Archiv keine weiteren Ausgaben vorliegen oder ein zulässiger Zugang in Deutschland ausgeschlossen ist. [S08, S. 9-10]</w:t>
      </w:r>
    </w:p>
    <w:p>
      <w:r>
        <w:t>Gerade die genaue Abgrenzung macht die Angaben nutzbar. Die zuständige Anstalt kann zu einem bestimmten Format und Zeitraum nach einem Bestandsverzeichnis und einer rechtmäßigen Einsichtsmöglichkeit gefragt werden. Eine pauschale Forderung nach allen Rohdaten wird dadurch vermieden. Zugleich kann die Behauptung einer vollständigen öffentlichen Verfügbarkeit an diesem konkreten Angebot überprüft werden.</w:t>
      </w:r>
    </w:p>
    <w:p>
      <w:r>
        <w:t>Die Datierung des Berichts bedarf einer Versionsklärung: Der ausgewiesene Dokumentstand ist der 16. September 2026, während der hessenschau-Korpus bis zum 17. September reicht. Eine nachträgliche Ergänzung ist möglich, aber nicht ohne Nachweis zu unterstellen. Im Quellenregister bleiben deshalb Dokumentdatum, tatsächlich beschriebener Untersuchungszeitraum und Dateiprüfsumme getrennt. Die benannten Begleitdateien in dem verlinkten Drive-Verzeichnis gelten nicht schon deshalb als empfangen oder erneut geprüft, weil der Bericht ihre Pfade aufführt.</w:t>
      </w:r>
    </w:p>
    <w:p>
      <w:r>
        <w:t>Der zusätzliche Vergleich mit 50 Tagesschau-Ausgaben aus August und September 2006 ist für eine historische Einordnung interessant, aber kein unmittelbarer Referenzbestand des Jahres 2018. Der Bericht nennt dort zudem eine durchschnittliche OCR-Leerrate von 46,3 Prozent. Unterschiedliche Erfassungsqualität, Zeitfenster und Ereignislagen verhindern, dass daraus ohne weitere Kontrolle eine Entwicklung der gesamten Programmvielfalt abgeleitet wird. Dieser historische Teil wird nicht zur Schließung der fehlenden Zwei-Jahres-Abdeckung verwendet. [S08, S. 10-12]</w:t>
      </w:r>
    </w:p>
    <w:p>
      <w:pPr>
        <w:pStyle w:val="Heading2"/>
      </w:pPr>
      <w:r>
        <w:t>2.11 Zusätzlich erschlossene Originaluntersuchung zur Ukraine-Berichterstattung</w:t>
      </w:r>
    </w:p>
    <w:p>
      <w:r>
        <w:t>Die im V-Gutachten erwähnte Arbeit von Marcus Maurer, Jörg Haßler und Pablo Jost wird nun an ihrer Originalveröffentlichung erschlossen. Der Aufsatz in Ukraine-Analysen Nr. 289 vom 5. Oktober 2023 beschreibt 4.292 Beiträge aus acht Nachrichtenangeboten vom 24. Februar bis zum 31. Mai 2022. Dazu gehören fünf Printangebote und die Fernsehnachrichten Tagesschau, heute und RTL aktuell. Die quantitative Inhaltsanalyse arbeitete mit sechs geschulten Kodierenden; für die berichteten Zuverlässigkeitsprüfungen werden Holsti-Werte zwischen 0,71 und 0,98 angegeben. [E10, S. 4-11]</w:t>
      </w:r>
    </w:p>
    <w:p>
      <w:r>
        <w:t>Die Autoren berichten unterschiedliche Darstellungen von Handlungsoptionen und zugleich deutliche Kritik an der Bundesregierung. Damit lässt sich die Untersuchung nicht zutreffend als pauschaler Nachweis durchgehend regierungsfreundlicher Berichterstattung zusammenfassen. Der direkt verfügbare Untersuchungsbericht ist gegenüber einem bloßen Sekundärzitat ein Erkenntnisgewinn; die zugrunde liegenden vollständigen Kodierdaten wurden für diese Klage nicht neu ausgewertet.</w:t>
      </w:r>
    </w:p>
    <w:p>
      <w:r>
        <w:t>Die eigene Folgerung betrifft die Methode und die Reichweite. Der Ansatz zeigt, dass berichtete Akteure, Darstellungen bestimmter Handlungsoptionen und journalistische Bewertungen mit unterschiedlichen Variablen erfasst werden können. Er verdeutlicht zugleich, warum der Begriff Einseitigkeit nicht ohne Angabe der Messgröße verwendet werden sollte. Wer etwa amtliche Akteure häufig zeigt, kann ihre Entscheidungen gleichwohl kritisch behandeln. Eine Akteurszählung allein beantwortet deshalb nicht, ob ein argumentatives Meinungsspektrum verengt ist.</w:t>
      </w:r>
    </w:p>
    <w:p>
      <w:r>
        <w:t>Für die hiesige Beweisführung wird der dreimonatige Untersuchungszeitraum als Teilfenster eingeordnet. Bei einem passenden Beitragszeitraum kann er eine fachlich bereits bearbeitete Teilfrage abdecken. Ein Rückschluss auf zwei Jahre und alle Medienarten verlangt dagegen weitere Befunde. Die privaten Vergleichsmedien dienen der Interpretation der Ereignislage und der Unterschiede; ihre Vielfalt kompensiert nicht automatisch ein Defizit des beitragsfinanzierten Gesamtangebots. Das rechtlich relevante Ausgleichsangebot ist nach R01 innerhalb dieses Gesamtangebots zu untersuchen.</w:t>
      </w:r>
    </w:p>
    <w:p>
      <w:pPr>
        <w:pStyle w:val="Heading2"/>
      </w:pPr>
      <w:r>
        <w:t>2.12 Jeitner: das wiedergefundene Original und die jetzt mögliche genaue Verwendung</w:t>
      </w:r>
    </w:p>
    <w:p>
      <w:r>
        <w:t>Die Analyse von Dr. Jürgen Jeitner vom 12. April 2025 liegt nun als 42-seitige Originaldatei vor. Sie wird nicht mehr nur über ihre Erwähnung im V-Gutachten eingeführt. Die Arbeit behandelt insbesondere Gelbhaar, das Gebäudeenergiegesetz, das Potsdam-Treffen, die Wahlrechtsreform, den Wahlkampf 2025, Corona und Landwirtschaft. Ihre Organisation folgt thematischen Fallanalysen, nicht einer durchgängig ausgewiesenen Zufallsstichprobe des Gesamtprogramms. [S10, Inhaltsverzeichnis und S. 6-42]</w:t>
      </w:r>
    </w:p>
    <w:p>
      <w:r>
        <w:t>Ein konkret bezeichnetes Beispiel sind die BR-Beiträge vom 18. und 20. Januar 2025 zum Fall Gelbhaar, die die Arbeit mit anderen Veröffentlichungen vergleicht. Damit sind prüfbare Veröffentlichungstage und Textgruppen benannt. Die Originalanalyse unterscheidet dort selbst sachliche Berichterstattung, die Tiefe einer Einordnung und spekulative Deutungen. Diese Unterscheidung ist für die gerichtliche Verwendung wichtiger als ihre abschließenden politischen Etiketten. Die Klägerseite übernimmt aus der Darstellung keine unbewiesene Behauptung über persönliche Motive, eine Intrige oder eine beabsichtigte Schädigung. [S10, S. 6-10]</w:t>
      </w:r>
    </w:p>
    <w:p>
      <w:r>
        <w:t>Für den Corona-Teil legt die Arbeit offen, dass sie öffentlich sichtbare Inhalte mit plausiblen Rückschlüssen auf typische Muster verbindet. Das ist keine vollständig dokumentierte repräsentative Inhaltsanalyse. Zudem enthalten einzelne Abschnitte Verweise der Art Web-ID ohne selbständig aussagekräftige Fundstelle. Solche Verweise werden nicht als bereits belegte Originaltatsachen ausgegeben. Der positive Nutzen der Arbeit besteht in konkret benannten Vergleichsfragen: Wird ein Gegenargument inhaltlich wiedergegeben? Wird eine neue Erkenntnis als Korrektur kenntlich? Wird zwischen Ereignisbericht und Einordnung unterschieden? [S10, S. 34-38]</w:t>
      </w:r>
    </w:p>
    <w:p>
      <w:r>
        <w:t>Der jetzt verfügbare Originaltext erlaubt damit eine genauere Auswahl, aber keine automatische Aufwertung aller darin enthaltenen Aussagen. Beiziehungs- und Prüffragen können auf die benannten Veröffentlichungen begrenzt werden. Eine aus typischen Mustern abgeleitete Einschätzung bleibt als Interpretation bezeichnet. Die Stellungnahme wird nicht als weitere unabhängige Messung derselben bereits bei Maurer oder Müller ausgewerteten Inhalte gezählt. Wo sie andere Arbeiten referiert, bleiben diese die eigentlichen empirischen Quellen.</w:t>
      </w:r>
    </w:p>
    <w:p>
      <w:pPr>
        <w:pStyle w:val="Heading2"/>
      </w:pPr>
      <w:r>
        <w:t>2.13 Reformdiagnosen, Insiderberichte und noch nicht erschlossene Themenkomplexe</w:t>
      </w:r>
    </w:p>
    <w:p>
      <w:r>
        <w:t>Die im V-Gutachten verwendeten Reformdiagnosen, insbesondere der Zukunftsrat, betreffen Anforderungen an Organisation, Akzeptanz und Qualität. Sie sind für die Beschreibung einer sachlich ernsthaften Untersuchungsfrage verwendbar. Eine Reformempfehlung beweist aber keinen bestimmten, im hiesigen Beitragszeitraum gemessenen Programmzustand. In dieser Fassung werden nicht vollständig am Original erschlossene Berichte deshalb nicht als zusätzliche gemessene Defizite bilanziert. [S01, Kap. 20.3-20.5]</w:t>
      </w:r>
    </w:p>
    <w:p>
      <w:r>
        <w:t>Berichte von Redaktionsangehörigen können einen anderen, eigenständigen Beweisgegenstand haben: die konkrete Entstehung oder Verhinderung eines bestimmten Beitrags, eine dokumentierte Themenentscheidung oder eine bestimmte interne Anweisung. Die bisher benannten Personen werden nicht pauschal als Zeugen für die Rechtswidrigkeit des gesamten Rundfunks angeboten. Ein solches Ergebnis ist keine unmittelbare Wahrnehmung. Verwertbar wäre dagegen eine benannte eigene Wahrnehmung mit Zeitpunkt, Ablauf und vorhandenen Unterlagen. Die weitere Beschaffung bleibt in der internen Aufgabenliste; eine bereits zugesagte Zeugenaussage wird nicht behauptet.</w:t>
      </w:r>
    </w:p>
    <w:p>
      <w:r>
        <w:t>Die alte Klage enthielt zahlreiche Themenkomplexe von WHO und UNO über Kinderangebote bis Nord Stream und Nahost. Ihre bloße Wiederholung würde die Substantiierung nicht verbessern. Soweit kein abgegrenzter, in dieser Fassung tatsächlich erschlossener Nachweis vorliegt, wird daraus keine zusätzliche Feststellung formuliert. Diese Entscheidung bedeutet keinen Verzicht auf später belegbare Tatsachen. Sie verhindert, dass unzureichend belegte Nebensätze die bereits konkret ausgearbeiteten Befunde unklar machen.</w:t>
      </w:r>
    </w:p>
    <w:p>
      <w:r>
        <w:t>Das Schmitz-Material wird entsprechend als rechtliche und publizistische Sekundärdarstellung verwendet, insbesondere zur Identifikation des dort besprochenen OVG-Beschlusses. Der Originalbeschluss 7 A 10424/25.OVG bleibt ohne gesicherten Volltext ein offener Nachweis. Auch der berichtete Umfang von 230 Seiten ersetzt keine Prüfung, welche bestimmten Tatsachen damals vorgetragen und behandelt wurden. [S09, Kap. D, S. 141-152]</w:t>
      </w:r>
    </w:p>
    <w:p>
      <w:pPr>
        <w:pStyle w:val="Heading2"/>
      </w:pPr>
      <w:r>
        <w:t>2.14 Konkreter Programm- und Kontrollfall: heute journal vom 15. Februar 2026</w:t>
      </w:r>
    </w:p>
    <w:p>
      <w:r>
        <w:t>Anders als eine nur behauptete Einzelkritik liegt hier eine genau bezeichnete öffentliche Ergebnisquelle vor. Die Mitteilung des ZDF-Fernsehrats vom 19. Juni 2026 behandelt Beschwerden zur Sendung vom 15. Februar 2026. Sie beanstandet den Umgang mit KI-generiertem und nicht passend zugeordnetem Bildmaterial und beschreibt bereits erfolgte Abhilfe. Die in dieser Fassung nachgerechnete Rundfunkalarm-Datei enthält zehn Vorgänge zu derselben Sendung; ihre Kennungen und Zeitpunkte stehen in Abschnitt 3. [E21; D01-D03]</w:t>
      </w:r>
    </w:p>
    <w:p>
      <w:r>
        <w:t>Der tatsächliche Befund ist doppelt bedeutsam. Erstens gibt es für einen bestimmten Beitrag einen von der zuständigen Stelle dokumentierten Fehler, nicht nur ein subjektives Unbehagen der Klägerseite. Zweitens ist auch eine Reaktion dokumentiert. Dieser zweite Befund darf nicht unterschlagen werden, um die These allgemeiner Wirkungslosigkeit zu retten. Das Verfahren wurde nach der Mitteilung wegen wirksamer vorheriger Abhilfe erledigt, nicht schlicht als unbegründet verworfen.</w:t>
      </w:r>
    </w:p>
    <w:p>
      <w:r>
        <w:t>Die Klägerseite verwendet den Vorgang deshalb als konkreten Prüffall der Verbindung von Programminhalt, Beanstandung und Korrektur. Ob die beschriebenen Maßnahmen das beanstandete Risiko auch in späteren vergleichbaren Beiträgen vermindert haben, ist eine weitere tatsächliche Frage. Ein einzelner Fehler mit Abhilfe belegt kein langjähriges Gesamtdefizit. Er liefert aber einen prüfbaren Vorgang, an dem zwischen Fehlernachweis, Reaktion und behaupteter organisatorischer Verbesserung unterschieden werden kann.</w:t>
      </w:r>
    </w:p>
    <w:p>
      <w:r>
        <w:t>Ein individueller Kausalnachweis, dass gerade eine der zehn Rundfunkalarm-Beschwerden die Abhilfe auslöste, liegt nicht vor. Die Übereinstimmung des Sendungsgegenstands ist dokumentiert; Eingang, Leitzuteilung und individuelle Antwort sind gesonderte Beweisfragen. Die Klägerseite beantragt nicht, diese fehlenden Verbindungsglieder durch eine bloße Vermutung zu ersetzen. Sie bezeichnet sie in Abschnitt 4 als konkret begrenzten Gegenstand einer möglichen Auskunft.</w:t>
      </w:r>
    </w:p>
    <w:p>
      <w:pPr>
        <w:pStyle w:val="Heading2"/>
      </w:pPr>
      <w:r>
        <w:t>2.15 Zeitliche Zusammenführung ohne Scheingenauigkeit</w:t>
      </w:r>
    </w:p>
    <w:p>
      <w:r>
        <w:t>Die Studien haben unterschiedliche Zeitfenster. Für ein Verfahren über 2022 können eine Corona-Untersuchung aus 2020 und eine Ukraine-Untersuchung aus dem Frühjahr 2022 in unterschiedlichen Teilen relevant sein; ein Befund aus Februar 2026 kann die Lücken eines solchen Fensters nicht einfach schließen. Für ein Verfahren über 2026 ist der neue Abhilfefall zeitlich näher, während die Müller-Auswertung nur eine historische Vergleichsfunktion besitzen kann. Die Klägerseite macht diese Unterschiede offen sichtbar.</w:t>
      </w:r>
    </w:p>
    <w:tbl>
      <w:tblPr>
        <w:tblW w:type="auto" w:w="0"/>
        <w:jc w:val="center"/>
        <w:tblLayout w:type="fixed"/>
        <w:tblLook w:firstColumn="1" w:firstRow="1" w:lastColumn="0" w:lastRow="0" w:noHBand="0" w:noVBand="1" w:val="04A0"/>
      </w:tblPr>
      <w:tblGrid>
        <w:gridCol w:w="1134"/>
        <w:gridCol w:w="3175"/>
        <w:gridCol w:w="4649"/>
      </w:tblGrid>
      <w:tr>
        <w:trPr>
          <w:tblHeader/>
          <w:cantSplit/>
        </w:trPr>
        <w:tc>
          <w:tcPr>
            <w:tcW w:type="dxa" w:w="113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Quelle</w:t>
            </w:r>
          </w:p>
        </w:tc>
        <w:tc>
          <w:tcPr>
            <w:tcW w:type="dxa" w:w="317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Sende-/Ereignisfenster</w:t>
            </w:r>
          </w:p>
        </w:tc>
        <w:tc>
          <w:tcPr>
            <w:tcW w:type="dxa" w:w="464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Verwendung bei anderer Beitragsperiode</w:t>
            </w:r>
          </w:p>
        </w:tc>
      </w:tr>
      <w:tr>
        <w:trPr>
          <w:cantSplit/>
        </w:trPr>
        <w:tc>
          <w:tcPr>
            <w:tcW w:type="dxa" w:w="113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S06</w:t>
            </w:r>
          </w:p>
        </w:tc>
        <w:tc>
          <w:tcPr>
            <w:tcW w:type="dxa" w:w="317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01.01.-31.08.2020</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Unmittelbarer Teilbefund nur bei passendem Fenster; sonst begründeter historischer Vergleich</w:t>
            </w:r>
          </w:p>
        </w:tc>
      </w:tr>
      <w:tr>
        <w:trPr>
          <w:cantSplit/>
        </w:trPr>
        <w:tc>
          <w:tcPr>
            <w:tcW w:type="dxa" w:w="113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S07</w:t>
            </w:r>
          </w:p>
        </w:tc>
        <w:tc>
          <w:tcPr>
            <w:tcW w:type="dxa" w:w="317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26.04.2010-13.11.2025</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Passende Teilmenge ausweisen; vor Juli 2018 allenfalls Referenz, nicht späterer Verstoßnachweis</w:t>
            </w:r>
          </w:p>
        </w:tc>
      </w:tr>
      <w:tr>
        <w:trPr>
          <w:cantSplit/>
        </w:trPr>
        <w:tc>
          <w:tcPr>
            <w:tcW w:type="dxa" w:w="113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S08</w:t>
            </w:r>
          </w:p>
        </w:tc>
        <w:tc>
          <w:tcPr>
            <w:tcW w:type="dxa" w:w="317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Überwiegend 03.09.2025-03.09.2026; Regionalfenster kürzer</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Keine ungeprüfte Übertragung auf 2023/2024</w:t>
            </w:r>
          </w:p>
        </w:tc>
      </w:tr>
      <w:tr>
        <w:trPr>
          <w:cantSplit/>
        </w:trPr>
        <w:tc>
          <w:tcPr>
            <w:tcW w:type="dxa" w:w="113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E10</w:t>
            </w:r>
          </w:p>
        </w:tc>
        <w:tc>
          <w:tcPr>
            <w:tcW w:type="dxa" w:w="317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24.02.-31.05.2022</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Teilbefund in einschlägigem historischen Fenster; kein Zweijahreszensus</w:t>
            </w:r>
          </w:p>
        </w:tc>
      </w:tr>
      <w:tr>
        <w:trPr>
          <w:cantSplit/>
        </w:trPr>
        <w:tc>
          <w:tcPr>
            <w:tcW w:type="dxa" w:w="113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D01</w:t>
            </w:r>
          </w:p>
        </w:tc>
        <w:tc>
          <w:tcPr>
            <w:tcW w:type="dxa" w:w="317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Beschwerdeanlage 13.06.2024-19.06.2026</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Sendedatum gesondert prüfen; 164 leere Ausstrahlungsfelder</w:t>
            </w:r>
          </w:p>
        </w:tc>
      </w:tr>
      <w:tr>
        <w:trPr>
          <w:cantSplit/>
        </w:trPr>
        <w:tc>
          <w:tcPr>
            <w:tcW w:type="dxa" w:w="113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F01</w:t>
            </w:r>
          </w:p>
        </w:tc>
        <w:tc>
          <w:tcPr>
            <w:tcW w:type="dxa" w:w="317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Sendung 15.02.2026; Entscheidung 19.06.2026</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Für frühere Perioden kein unmittelbarer Beleg einer damaligen Fehlleistung</w:t>
            </w:r>
          </w:p>
        </w:tc>
      </w:tr>
      <w:tr>
        <w:trPr>
          <w:cantSplit/>
        </w:trPr>
        <w:tc>
          <w:tcPr>
            <w:tcW w:type="dxa" w:w="113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F02/F03</w:t>
            </w:r>
          </w:p>
        </w:tc>
        <w:tc>
          <w:tcPr>
            <w:tcW w:type="dxa" w:w="317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Sendungen 06.02.2025 / 29.05.2025</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Aktivitäts- und Verfahrensbezug, Ergebnisstand jeweils begrenzt</w:t>
            </w:r>
          </w:p>
        </w:tc>
      </w:tr>
    </w:tbl>
    <w:p>
      <w:pPr>
        <w:spacing w:after="0"/>
      </w:pPr>
    </w:p>
    <w:p>
      <w:r>
        <w:t>Für jede tatsächlich angegriffene Beitragsperiode ist die passende Teilmenge zu bestimmen. Eine späte Untersuchung kann frühe Sendungen auswerten; sie muss nicht bereits damals verfasst worden sein. Das Alter eines Untersuchungsdokuments ist deshalb nicht mit dem Alter seiner Untersuchungsgegenstände gleichzusetzen. Umgekehrt lässt sich eine spätere Quellenlage nicht rückwirkend als damaliges journalistisches Wissen ausgeben. Gerade bei medizinischen und geopolitischen Themen sind zeitgenössisch erkennbare Tatsachen, spätere Erkenntnisse und nachträgliche Wertungen zu trennen.</w:t>
      </w:r>
    </w:p>
    <w:p>
      <w:r>
        <w:t>Der Gesamtzusammenhang wird nicht durch eine einzige Langzeitkurve hergestellt. Benötigt wird eine nachvollziehbare Zuordnung der Teilbefunde zu Funktionen, Angeboten und Zeitabschnitten. Diese Zuordnung ist in der vorliegenden Fassung inhaltlich angelegt; sie ist keine Behauptung einer bereits vorhandenen Vollabdeckung. Wo ein zeitlich erforderliches Segment nicht untersucht ist, wird der fehlende Bestand bestimmt bezeichnet. Darauf richten sich die abgestuften Aufklärungsbegehren.</w:t>
      </w:r>
    </w:p>
    <w:p>
      <w:pPr>
        <w:pStyle w:val="Heading2"/>
      </w:pPr>
      <w:r>
        <w:t>2.16 Gesamtangebot, Ausgleich und die Grenzen einer bloßen Addition</w:t>
      </w:r>
    </w:p>
    <w:p>
      <w:r>
        <w:t>Der Gesamtrundfunk umfasst mehr als politische Hauptnachrichten. Gegenständliche Vielfalt kann durch Kultur, Bildung, Beratung und Unterhaltung getragen werden. Meinungsbezogene Vielfalt betrifft daneben die Darstellung relevanter unterschiedlicher Positionen. Die Klägerseite vertritt, dass eine große Zahl unterhaltender oder kultureller Angebote nicht ohne sachliche Erläuterung einen konkret belegten Mangel bei der Darstellung einer gesellschaftlich wichtigen Kontroverse ausgleichen kann. Sie behauptet damit nicht, diese Angebote seien für den gesetzlichen Auftrag bedeutungslos.</w:t>
      </w:r>
    </w:p>
    <w:p>
      <w:r>
        <w:t>Ebenso wenig darf der Gesamtbezug dadurch umgangen werden, dass nur besonders kritisierte Sendungen betrachtet werden. Für die Frage möglicher Kompensation sind weitere öffentlich-rechtliche Angebote desselben Themas und Zeitfensters einzubeziehen. Ein nachweislich ausführliches Gegenangebot ist ein Gegenbefund. Ob es in Art, Umfang, Auffindbarkeit und Funktion einen sachlich vergleichbaren Ausgleich bildet, bedarf der Begründung. Weder jede andere Sendung noch ausschließlich das Hauptnachrichtenformat entscheidet diese Frage allein. [R01, Rn. 39-45]</w:t>
      </w:r>
    </w:p>
    <w:p>
      <w:r>
        <w:t>Die vorliegenden unterschiedlichen Untersuchungen ermöglichen zunächst einen Vergleich von Gegenständen, nicht eine mathematische Summierung von Defiziten. 78 als Diskussion oder Protest kategorisierte Corona-Beiträge, 2.911 Kommentare und 1.955 technisch erkannte O-Töne haben unterschiedliche Untersuchungseinheiten. Ihre Addition zu einer scheinbar großen Zahl bewiesener Verstöße wäre sachlich falsch. Der gemeinsame Nutzen liegt in der Bestimmung konkreter Mechanismen und in der Entwicklung vergleichbarer Variablen für weitere Teilbestände.</w:t>
      </w:r>
    </w:p>
    <w:p>
      <w:pPr>
        <w:pStyle w:val="Heading2"/>
      </w:pPr>
      <w:r>
        <w:t>2.17 Ausformulierte Indikatoren für die weitere Prüfung</w:t>
      </w:r>
    </w:p>
    <w:p>
      <w:r>
        <w:t>Aus dem erschlossenen Material werden vier fachlich getrennte Indikatorgruppen abgeleitet. Die erste betrifft Themen- und Quellenabdeckung: Welche sachlich relevanten Teilaspekte und fachlichen Quellen erscheinen in einem abgegrenzten Korpus? Die zweite betrifft die Darstellung von Argumenten: Wird eine Gegenposition lediglich benannt, inhaltlich erklärt oder mit einem sachlich zutreffenden Gegenargument behandelt? Die dritte betrifft die Unterscheidung von Tatsachendarstellung, Kommentar und Illustration. Die vierte betrifft dokumentierte Fehlerkorrektur und das Fortbestehen eines bereits festgestellten Mangels.</w:t>
      </w:r>
    </w:p>
    <w:p>
      <w:r>
        <w:t>Diese Indikatoren sind keine bereits vom Gesetz vorgeschriebene starre Skala. Sie stellen eine aus den vorhandenen Untersuchungen entwickelte Konkretisierung dar. Die rechtliche Schwelle der gröblichen Verfehlung wird nicht in einen selbst erfundenen Prozentwert übersetzt. Eine mathematische Grenze wie 20 Prozent falsche Beiträge oder ein bestimmtes Parteienverhältnis wird gerade nicht behauptet. Das Gericht hat das tatsächlich Festgestellte im rechtlichen Gesamtzusammenhang zu würdigen.</w:t>
      </w:r>
    </w:p>
    <w:p>
      <w:r>
        <w:t>Für eine repräsentative Untersuchung sind Grundgesamtheit und Auswahlwahrscheinlichkeit offenzulegen. Eine gezielte Vertiefung bereits dokumentierter Fehler ist sinnvoll, beantwortet aber eine andere Frage als eine Zufallsauswahl zur Schätzung der Fehlerhäufigkeit. Beide können nebeneinander stehen, sofern die jeweiligen Schlussfolgerungen getrennt bleiben. Vergleichbar sind ferner Programme gleicher Funktion und Zeitlage; eine kurze Regionalnachrichtensendung und ein ausführliches bundesweites Magazin dürfen nicht ohne Funktionskontrolle an demselben Häufigkeitsmaß gemessen werden.</w:t>
      </w:r>
    </w:p>
    <w:p>
      <w:r>
        <w:t>Die Wahl der Gewichtung ist ebenfalls eine sachverständige Frage. Zählung von Beiträgen, Sendeminuten, Reichweite oder thematischer Relevanz führt nicht notwendig zum selben Ergebnis. Deshalb ist darzustellen, ob eine Feststellung unter mehreren sachlich vertretbaren Gewichtungen stabil bleibt. Die Klägerseite verlangt keine ausschließlich ergebnisgünstige Gewichtung, sondern eine nachvollziehbare Sensitivitätsprüfung.</w:t>
      </w:r>
    </w:p>
    <w:p>
      <w:pPr>
        <w:pStyle w:val="Heading2"/>
      </w:pPr>
      <w:r>
        <w:t>2.18 Das positive Ergebnis dieses Abschnitts</w:t>
      </w:r>
    </w:p>
    <w:p>
      <w:r>
        <w:t>Der Vortrag enthält nun bestimmte Korpora, absolute Zahlen, Zeiträume, Verfahren, Originalfundstellen und eine ausdrückliche Unterscheidung zwischen eigenen Nachrechnungen und fremden Befunden. Die Müller-Auswertung bezeichnet einen konkreten historischen Themenraum; Glashaus bezeichnet eine langjährige Kommentarauswahl; die O-Ton-Dokumentation bezeichnet technische Einbindungszahlen und konkrete Abrufgrenzen; die Originalarbeit von Maurer, Haßler und Jost liefert einen methodisch bearbeiteten thematischen Vergleich; die ZDF-Mitteilung belegt einen bestimmten Fehler und eine dokumentierte Reaktion. Das sind verschiedenartige, aber greifbare Tatsachenbestände.</w:t>
      </w:r>
    </w:p>
    <w:p>
      <w:r>
        <w:t>Die Klägerseite leitet daraus nicht bereits den Endbeweis des Wegfalls der Beitragspflicht ab. Sie macht geltend, dass die bezeichneten Teilbefunde im passenden Zeitfenster nicht lediglich als subjektive Programmabneigung behandelt werden dürfen. Für die beantragte begrenzte Aufklärung ist zu entscheiden, welche konkrete Feststellung hinreichend belegt ist, welche fachliche Nachprüfung erforderlich ist und welche fehlende Quelle den nächsten bestimmten Erkenntnisschritt ermöglicht. Dies ist in Abschnitt 4 auf einzelne Beweismittel und Fragen heruntergebrochen.</w:t>
      </w:r>
    </w:p>
    <w:p>
      <w:r>
        <w:t>Soweit der konkrete Beitragszeitraum durch die vorhandenen Bestände nicht tragfähig abgedeckt ist, bleibt dieser Mangel offen. Er kann nur durch passende Inhalte und eine begründete Auswertung behoben werden, nicht durch die bloße Verlängerung eines Schriftsatzes. Die vorliegende Erweiterung beseitigt dagegen die redaktionelle Lücke, dass die vorhandenen Ergebnisse lediglich benannt waren: Sie sind jetzt mit ihrer jeweiligen Tatsachengrundlage, Aussage und rechtlichen Erkenntnisfunktion ausgeführt.</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Abschnitt 2 | Gemeinsame Begründung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2 | Gemeinsame Begründung</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