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Redaktionsbilanz und verbleibende Prüfpunkte</w:t>
      </w:r>
    </w:p>
    <w:p>
      <w:pPr>
        <w:pStyle w:val="Title"/>
      </w:pPr>
      <w:r>
        <w:t>V4 zu V5 - nur für die interne Bearbeitung</w:t>
      </w:r>
    </w:p>
    <w:p>
      <w:r>
        <w:t>Die neuen Dokumente sind deutlich umfangreicher, weil bisher nur benannte Befunde jetzt ausgeführt werden. Der Ausbau ist nicht als Rückkehr zu unbelegten absoluten Behauptungen angelegt. Die unveränderten Originalarbeiten bleiben im bisherigen Quellenarchiv erhalten; V5 ist eine neue, ausdrücklich abgegrenzte Klage- und Arbeitsfassung.</w:t>
      </w:r>
    </w:p>
    <w:p>
      <w:pPr>
        <w:pStyle w:val="Heading2"/>
      </w:pPr>
      <w:r>
        <w:t>1. Substanz, die nun unmittelbar im Schriftsatz steht</w:t>
      </w:r>
    </w:p>
    <w:p>
      <w:r>
        <w:t>Der leere Tatsachenkern aus V4 Abschnitt 1.8 wurde durch eine ausgeführte Darstellung der vorhandenen Erkenntniskomplexe ersetzt. Die fallbezogene Auswahl ergibt sich aus einem zentralen Fallbogen und einer Zeitmatrix. Studien werden nicht mehr nur mit Autorennamen aufgezählt: Müller erhält eine Kategorien- und Nenneranalyse, Glashaus eine Korpus- und Themenauswertung, der O-Ton-Bericht eine vollständige deskriptive Zähltabelle und Verfahrensbeschreibung. Die originale Ukraine-Untersuchung und die wiedergefundene Jeitner-Arbeit werden jeweils eigenständig eingeordnet.</w:t>
      </w:r>
    </w:p>
    <w:p>
      <w:r>
        <w:t>Der Beschwerdeabschnitt enthält den tatsächlich geprüften Export mit Medien-, Sender- und Monatstabellen. Drei konkrete Sendungsgruppen werden mit Kennungen, Auswahlregel und Ergebnisstand behandelt. Der heute-journal-Fall ist nicht länger als bloß noch zu beschaffendes Beispiel beschrieben. Fehler und Abhilfe sind anhand der offiziellen Ergebnisquelle dargestellt; die individuelle Ursächlichkeit bleibt offen.</w:t>
      </w:r>
    </w:p>
    <w:p>
      <w:r>
        <w:t>Die rechtliche Herleitung unterscheidet nun ausdrücklich materiellen Prüfungsgegenstand, Aufklärungsanlass, Erkenntnismittel und Rechtsfolge. Bei Projekt 51 werden die gegenstehenden Einwände nicht in einem freien Platzhalter an die Kläger delegiert. Die Argumentation zu § 43 VwGO behandelt die tragenden Gesichtspunkte, ihre Grenzen und die Rechtsprechung 9 B 8.24 sowie 6 B 25.07.</w:t>
      </w:r>
    </w:p>
    <w:p>
      <w:pPr>
        <w:pStyle w:val="Heading2"/>
      </w:pPr>
      <w:r>
        <w:t>2. Zuordnung der Ausgangsarbeiten</w:t>
      </w:r>
    </w:p>
    <w:p>
      <w:r>
        <w:t>V-Gutachten: programmbezogene Vorteilskonstruktion in Abschnitt 1; vorhandene Untersuchungsansätze in Abschnitt 2; Erkenntnisasymmetrie, digitale Prüfbarkeit, verhältnismäßiger Zugang und Mitwirkung in Abschnitt 4. Allgemeine Exkurse zur gesamten Digitalisierung des Staates werden nicht als selbständige Streitgegenstände mitgeführt.</w:t>
      </w:r>
    </w:p>
    <w:p>
      <w:r>
        <w:t>Rundfunkalarm-Gutachten Juni und September: Datengrundlage, Zähleinheiten, Tabellen, Wirkungsmodell, Kontrollfunktion und konkrete Fragestellungen in Abschnitt 3. Die bis dahin fehlende technische Nachrechnung ist jetzt ausgeführt. Die September-Ergänzung wird unter eigenem Quellenschlüssel S03 geführt, nicht unbemerkt in die Juni-Fassung hineingelesen.</w:t>
      </w:r>
    </w:p>
    <w:p>
      <w:r>
        <w:t>Kurzgutachten und Grundlagenuntersuchung: institutioneller Lebenssachverhalt, Rekonstruktion, Methodenoffenheit und funktionale Verbindung von Auftrag, Organisation, Erkenntnis und Bewertung in Abschnitt 4. Diese Begriffe sind rechtliche Erklärungsansätze, keine neu entdeckten gesetzlichen Anspruchstatbestände. Die darin benannte BGH-Entscheidung betrifft nach der amtlichen Verfahrensinformation einen speziellen Arzneimittelauskunftsanspruch; diese Grenze wird ausdrücklich benannt.</w:t>
      </w:r>
    </w:p>
    <w:p>
      <w:r>
        <w:t>Externe Studien: Die Originalaussagen werden ihren jeweiligen Quellen zugeordnet. Relative inhaltliche Nähe zu Parteiprogrammen wird nicht in eine objektive juristische Rangliste von Parteien oder Sendern verwandelt. Die deskriptiven O-Ton-Zahlen sind alphabetisch dargestellt. Die medizinischen und politischen Wertungen von Sekundärtexten werden nicht ungeprüft zur Tatsachengrundlage der Klage erklärt.</w:t>
      </w:r>
    </w:p>
    <w:p>
      <w:pPr>
        <w:pStyle w:val="Heading2"/>
      </w:pPr>
      <w:r>
        <w:t>3. Bewusste Korrekturen gegenüber früheren Formulierungen</w:t>
      </w:r>
    </w:p>
    <w:p>
      <w:r>
        <w:t>Eine fehlende Antwort gilt nicht automatisch als Geständnis. Eine gespeicherte Teilung ist kein eigenständiger bestätigter Programmverstoß. Eine Gremienerledigung kann auf vorheriger Abhilfe beruhen. Eine in einer Mediathek nicht gefundene Datei ist nicht notwendig in allen Archiven unzugänglich. Ein verlorener Bescheidprozess eröffnet nicht automatisch eine Feststellungsklage. Ein wissenschaftlicher Untersuchungsplan ist keine durchgeführte Untersuchung.</w:t>
      </w:r>
    </w:p>
    <w:p>
      <w:r>
        <w:t>Diese Punkte werden nicht stillschweigend repariert: Die jeweiligen Quellen und Aussagegrenzen stehen im Haupttext. Die alte Formulierung fehlender Korrektur wird für den aktuellen Quellenstand ausdrücklich begrenzt, weil zu einer im Export erfassten Sendung tatsächlich eine Korrekturquelle vorliegt. Das Originalgutachten wird deswegen nicht nachträglich umgeschrieben.</w:t>
      </w:r>
    </w:p>
    <w:p>
      <w:pPr>
        <w:pStyle w:val="Heading2"/>
      </w:pPr>
      <w:r>
        <w:t>4. Nicht erledigte Tatsachenaufgaben</w:t>
      </w:r>
    </w:p>
    <w:p>
      <w:r>
        <w:t>Nicht vorliegend sind das vollständige O-Ton-Rohdatenpaket aus dem im Gutachten bezeichneten Drive-Ordner, ein vollständig extern validierter Glashaus-Korpus, die Originalentscheidung des OVG Rheinland-Pfalz 7 A 10424/25.OVG und die den Nutzerberichten konkret zuzuordnenden Berliner und Ansbacher Akten. Die im Export enthaltenen Freitexte und Links wurden nicht lückenlos zu einer Ergebnisdatenbank aller Beschwerden aufbereitet. Eine unterschriebene Plattform-Exporterklärung wurde nicht erstellt.</w:t>
      </w:r>
    </w:p>
    <w:p>
      <w:r>
        <w:t>Diese Lücken werden nicht erneut an Markus zur allgemeinen Einzelprüfung delegiert. Die vorhandenen Inhalte sind verarbeitet, und die zur Schließung geeigneten Anfragen sind ausgearbeitet. Die verbleibenden Belege müssen aber tatsächlich von den jeweiligen Datenhaltern, Verfassern oder Klägern kommen. Sie können nicht durch die Verlängerung des Schriftsatzes entstehen.</w:t>
      </w:r>
    </w:p>
    <w:p>
      <w:pPr>
        <w:pStyle w:val="Heading2"/>
      </w:pPr>
      <w:r>
        <w:t>5. Die 102-Fälle-Planung</w:t>
      </w:r>
    </w:p>
    <w:p>
      <w:r>
        <w:t>Das Organisationsziel bleibt 102 verschiedene Kläger, die jeweils zuvor mit einer eigenen Bescheidanfechtung unterlegen sind. Es handelt sich nicht um die doppelte Klage derselben Person. Jeder Fall hat eine eigene Vorakte, aktuelle Auseinandersetzung, Zuständigkeitsprüfung und Kostenentscheidung. Das beigefügte JSON ist ein Planungsraster, kein Nachweis vorhandener Kläger oder zuständiger Gerichte.</w:t>
      </w:r>
    </w:p>
    <w:p>
      <w:r>
        <w:t>Für eine isolierte Feststellung kann § 52 Nr. 5 VwGO an den Sitz der Beklagten anknüpfen. Die gewünschte Verteilung auf 51 Gerichte ist daher nicht als rechtlich gesichert zu behandeln. Ungeklärte Zuständigkeit oder ein bloß methodisches Feststellungsbegehren werden nicht durch ein Häkchen im Raster freigegeben. Die juristische Einzelfallkontrolle muss diese Fragen tatsächlich beantworten.</w:t>
      </w:r>
    </w:p>
    <w:p>
      <w:pPr>
        <w:pStyle w:val="Heading2"/>
      </w:pPr>
      <w:r>
        <w:t>6. Nur die neue operative Fassung verwenden</w:t>
      </w:r>
    </w:p>
    <w:p>
      <w:r>
        <w:t>Die neue Gesamtfassung und ihre modularen Einzelteile sind alternative Darstellungen desselben Textes. Historische Anlagenpakete V2 bis V4 und alte Muster mit automatischen Beweislast- oder Kostenbehauptungen sind keine zusätzlichen aktuellen Anträge. Bereits eingereichte Anträge müssen gegebenenfalls gesondert klargestellt werden; eine Rücknahme darf nicht ohne Kostenprüfung automatisch erklärt werden.</w:t>
      </w:r>
    </w:p>
    <w:sectPr w:rsidR="00FC693F" w:rsidRPr="0006063C" w:rsidSect="00034616">
      <w:headerReference w:type="default" r:id="rId9"/>
      <w:footerReference w:type="default" r:id="rId10"/>
      <w:pgSz w:w="11906" w:h="16838"/>
      <w:pgMar w:top="1276" w:right="1474" w:bottom="1162" w:left="1474" w:header="595"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fldSimple w:instr="PAGE">
      <w:r>
        <w:t>1</w:t>
      </w:r>
    </w:fldSimple>
    <w:r>
      <w:rPr>
        <w:sz w:val="18"/>
      </w:rPr>
      <w:t xml:space="preserve"> von </w:t>
    </w:r>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40"/>
      <w:pBdr>
        <w:bottom w:val="single" w:sz="4" w:color="CCD4DC"/>
      </w:pBdr>
    </w:pPr>
    <w:r>
      <w:rPr>
        <w:color w:val="536374"/>
        <w:sz w:val="17"/>
      </w:rPr>
      <w:t>Interne Redaktionsbilanz | V5 | 04.10.2026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3" w:lineRule="auto" w:after="140"/>
    </w:pPr>
    <w:rPr>
      <w:rFonts w:ascii="Liberation Serif" w:hAnsi="Liberation Serif"/>
      <w:sz w:val="24"/>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200"/>
      <w:outlineLvl w:val="0"/>
    </w:pPr>
    <w:rPr>
      <w:rFonts w:asciiTheme="majorHAnsi" w:eastAsiaTheme="majorEastAsia" w:hAnsiTheme="majorHAnsi" w:cstheme="majorBidi" w:ascii="Liberation Serif" w:hAnsi="Liberation Serif"/>
      <w:b/>
      <w:bCs/>
      <w:color w:val="172F45"/>
      <w:sz w:val="34"/>
      <w:szCs w:val="28"/>
      <w:lang w:val="de-DE"/>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Liberation Serif" w:hAnsi="Liberation Serif"/>
      <w:b/>
      <w:bCs/>
      <w:color w:val="172F45"/>
      <w:sz w:val="26"/>
      <w:szCs w:val="26"/>
      <w:lang w:val="de-DE"/>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Liberation Serif" w:hAnsi="Liberation Serif"/>
      <w:b/>
      <w:bCs/>
      <w:color w:val="172F45"/>
      <w:sz w:val="24"/>
      <w:lang w:val="de-D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Liberation Serif" w:hAnsi="Liberation Serif"/>
      <w:b/>
      <w:color w:val="172F45"/>
      <w:spacing w:val="5"/>
      <w:kern w:val="28"/>
      <w:sz w:val="42"/>
      <w:szCs w:val="52"/>
      <w:lang w:val="de-D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erif" w:hAnsi="Liberation Serif"/>
      <w:b w:val="0"/>
      <w:i/>
      <w:iCs/>
      <w:color w:val="172F45"/>
      <w:spacing w:val="15"/>
      <w:sz w:val="26"/>
      <w:szCs w:val="24"/>
      <w:lang w:val="de-D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Interne Redaktionsbilanz</dc:title>
  <dc:subject>Modulare Klage- und Arbeitsfassung V5</dc:subject>
  <dc:creator/>
  <cp:keywords>Beitragsstopper; Projekt 51; V5; 2026-10-04</cp:keywords>
  <dc:description>Ausgearbeitete allgemeine Vorlage. Keine eingereichte oder unterschriebene Klage; individuelle Fallangaben sind einzusetzen.</dc:description>
  <cp:lastModifiedBy/>
  <cp:revision>1</cp:revision>
  <dcterms:created xsi:type="dcterms:W3CDTF">2013-12-23T23:15:00Z</dcterms:created>
  <dcterms:modified xsi:type="dcterms:W3CDTF">2013-12-23T23:15:00Z</dcterms:modified>
  <cp:category/>
</cp:coreProperties>
</file>