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Abschnitt 1</w:t>
      </w:r>
    </w:p>
    <w:p>
      <w:pPr>
        <w:pStyle w:val="Title"/>
      </w:pPr>
      <w:r>
        <w:t>Eigenes unterlegenes Beitragsverfahren und neuer konkreter Feststellungsgegenstand</w:t>
      </w:r>
    </w:p>
    <w:p>
      <w:r>
        <w:t>Die Klägerseite hat bereits selbst gegen ihre Rundfunkbeitragsbelastung geklagt und ist in diesem Verfahren unterlegen. Die vorliegende Klage geht von diesem eigenen Vorgang aus. Sie verlangt keine zweite Entscheidung über dieselben alten Bescheide, keine abstrakte Feststellung zur Gültigkeit des Rundfunkbeitragsstaatsvertrags und keine verbindliche Vorgabe für die Beweiswürdigung anderer Gerichte. Geltend gemacht wird eine begrenzte eigene Rechtsposition im gegenwärtigen Verhältnis zur Beklagten, die durch den anschließend konkret dokumentierten Umgang mit notwendigen Erkenntnisgrundlagen streitig geworden ist.</w:t>
      </w:r>
    </w:p>
    <w:p>
      <w:r>
        <w:t>Die gemeinsame Bezeichnung Projekt 51 erklärt die koordinierte Aufbereitung, nicht die Zulässigkeit dieser Klage. Jede Klägerseite hat einen eigenen Lebenssachverhalt, ein eigenes Rechtsschutzziel und ein eigenes Kostenrisiko. Die nachfolgende rechtliche Herleitung wird als eigenständiger Entwicklungsansatz zur Entscheidung gestellt. Eine bereits gesicherte höchstrichterliche Anerkennung der hier beanspruchten Konsistenzbindung wird nicht behauptet.</w:t>
      </w:r>
    </w:p>
    <w:p>
      <w:pPr>
        <w:pStyle w:val="Heading2"/>
      </w:pPr>
      <w:r>
        <w:t>1.1 Verbindliches Fallblatt und individuelle Anlagen</w:t>
      </w:r>
    </w:p>
    <w:p>
      <w:r>
        <w:t>Die in dieser Fassung verwendeten persönlichen Angaben stehen in dem folgenden Fallblatt. Die bezeichneten Originalbelege werden mit unveränderter Kennung in das individuelle Anlagenverzeichnis aufgenommen. Gemeinsame Forschungsergebnisse oder Plattformfälle werden nicht nachträglich als eigene Erlebnisse der Klägerseite dargestellt. Die Angaben zum Vorprozess beruhen auf dem tatsächlichen damaligen Aktenbestand, nicht auf später entstandenen Gutachten.</w:t>
      </w:r>
    </w:p>
    <w:tbl>
      <w:tblPr>
        <w:tblW w:type="auto" w:w="0"/>
        <w:jc w:val="center"/>
        <w:tblLayout w:type="fixed"/>
        <w:tblLook w:firstColumn="1" w:firstRow="1" w:lastColumn="0" w:lastRow="0" w:noHBand="0" w:noVBand="1" w:val="04A0"/>
      </w:tblPr>
      <w:tblGrid>
        <w:gridCol w:w="1077"/>
        <w:gridCol w:w="4365"/>
        <w:gridCol w:w="3515"/>
      </w:tblGrid>
      <w:tr>
        <w:trPr>
          <w:tblHeader/>
          <w:cantSplit/>
        </w:trPr>
        <w:tc>
          <w:tcPr>
            <w:tcW w:type="dxa" w:w="1077"/>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Beleg</w:t>
            </w:r>
          </w:p>
        </w:tc>
        <w:tc>
          <w:tcPr>
            <w:tcW w:type="dxa" w:w="4365"/>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Persönliche Angabe</w:t>
            </w:r>
          </w:p>
        </w:tc>
        <w:tc>
          <w:tcPr>
            <w:tcW w:type="dxa" w:w="3515"/>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Eintrag</w:t>
            </w:r>
          </w:p>
        </w:tc>
      </w:tr>
      <w:tr>
        <w:trPr>
          <w:cantSplit/>
        </w:trPr>
        <w:tc>
          <w:tcPr>
            <w:tcW w:type="dxa" w:w="1077"/>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K01-K03</w:t>
            </w:r>
          </w:p>
        </w:tc>
        <w:tc>
          <w:tcPr>
            <w:tcW w:type="dxa" w:w="4365"/>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Eigene Bescheide, Widerspruch, Klageeingang im Vorprozess.</w:t>
            </w:r>
          </w:p>
        </w:tc>
        <w:tc>
          <w:tcPr>
            <w:tcW w:type="dxa" w:w="3515"/>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[Daten und Belege]</w:t>
            </w:r>
          </w:p>
        </w:tc>
      </w:tr>
      <w:tr>
        <w:trPr>
          <w:cantSplit/>
        </w:trPr>
        <w:tc>
          <w:tcPr>
            <w:tcW w:type="dxa" w:w="1077"/>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K04</w:t>
            </w:r>
          </w:p>
        </w:tc>
        <w:tc>
          <w:tcPr>
            <w:tcW w:type="dxa" w:w="4365"/>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Vollständige Vorentscheidung, Zustellung, Rechtsmittel und Rechtskraftstatus.</w:t>
            </w:r>
          </w:p>
        </w:tc>
        <w:tc>
          <w:tcPr>
            <w:tcW w:type="dxa" w:w="3515"/>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[Gericht, Az., Datum, Status]</w:t>
            </w:r>
          </w:p>
        </w:tc>
      </w:tr>
      <w:tr>
        <w:trPr>
          <w:cantSplit/>
        </w:trPr>
        <w:tc>
          <w:tcPr>
            <w:tcW w:type="dxa" w:w="1077"/>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K05</w:t>
            </w:r>
          </w:p>
        </w:tc>
        <w:tc>
          <w:tcPr>
            <w:tcW w:type="dxa" w:w="4365"/>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Tatsächlich vorgelegte Gutachten und Belege des Vorprozesses.</w:t>
            </w:r>
          </w:p>
        </w:tc>
        <w:tc>
          <w:tcPr>
            <w:tcW w:type="dxa" w:w="3515"/>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[Titel, Fassung, Eingang]</w:t>
            </w:r>
          </w:p>
        </w:tc>
      </w:tr>
      <w:tr>
        <w:trPr>
          <w:cantSplit/>
        </w:trPr>
        <w:tc>
          <w:tcPr>
            <w:tcW w:type="dxa" w:w="1077"/>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K06</w:t>
            </w:r>
          </w:p>
        </w:tc>
        <w:tc>
          <w:tcPr>
            <w:tcW w:type="dxa" w:w="4365"/>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Tragende Abweisungsgründe, besonders Untersuchungslücke oder methodischer Mangel.</w:t>
            </w:r>
          </w:p>
        </w:tc>
        <w:tc>
          <w:tcPr>
            <w:tcW w:type="dxa" w:w="3515"/>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[Genaue Seite und Wortlaut]</w:t>
            </w:r>
          </w:p>
        </w:tc>
      </w:tr>
      <w:tr>
        <w:trPr>
          <w:cantSplit/>
        </w:trPr>
        <w:tc>
          <w:tcPr>
            <w:tcW w:type="dxa" w:w="1077"/>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K07</w:t>
            </w:r>
          </w:p>
        </w:tc>
        <w:tc>
          <w:tcPr>
            <w:tcW w:type="dxa" w:w="4365"/>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Historisches Programmfenster und fachlich bestimmte Untersuchungsfrage.</w:t>
            </w:r>
          </w:p>
        </w:tc>
        <w:tc>
          <w:tcPr>
            <w:tcW w:type="dxa" w:w="3515"/>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[Nicht nur: alle Daten]</w:t>
            </w:r>
          </w:p>
        </w:tc>
      </w:tr>
      <w:tr>
        <w:trPr>
          <w:cantSplit/>
        </w:trPr>
        <w:tc>
          <w:tcPr>
            <w:tcW w:type="dxa" w:w="1077"/>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K08-K10</w:t>
            </w:r>
          </w:p>
        </w:tc>
        <w:tc>
          <w:tcPr>
            <w:tcW w:type="dxa" w:w="4365"/>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Eigener Zugangsantrag, Eingang, Antwort, Präzisierung und erneute Antwort.</w:t>
            </w:r>
          </w:p>
        </w:tc>
        <w:tc>
          <w:tcPr>
            <w:tcW w:type="dxa" w:w="3515"/>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[Originale, Daten, bestimmter Bestand]</w:t>
            </w:r>
          </w:p>
        </w:tc>
      </w:tr>
      <w:tr>
        <w:trPr>
          <w:cantSplit/>
        </w:trPr>
        <w:tc>
          <w:tcPr>
            <w:tcW w:type="dxa" w:w="1077"/>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K11-K12</w:t>
            </w:r>
          </w:p>
        </w:tc>
        <w:tc>
          <w:tcPr>
            <w:tcW w:type="dxa" w:w="4365"/>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Bestandshinweise; tatsächlich erprobte Alternativen; Kosten- oder Nutzungsangebote.</w:t>
            </w:r>
          </w:p>
        </w:tc>
        <w:tc>
          <w:tcPr>
            <w:tcW w:type="dxa" w:w="3515"/>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[Beleg statt allgemeiner Unmöglichkeitsbehauptung]</w:t>
            </w:r>
          </w:p>
        </w:tc>
      </w:tr>
      <w:tr>
        <w:trPr>
          <w:cantSplit/>
        </w:trPr>
        <w:tc>
          <w:tcPr>
            <w:tcW w:type="dxa" w:w="1077"/>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K13</w:t>
            </w:r>
          </w:p>
        </w:tc>
        <w:tc>
          <w:tcPr>
            <w:tcW w:type="dxa" w:w="4365"/>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Aktuelle außerprozessuale Gegenposition der Beklagten und gegenwärtige Rechtsfolge.</w:t>
            </w:r>
          </w:p>
        </w:tc>
        <w:tc>
          <w:tcPr>
            <w:tcW w:type="dxa" w:w="3515"/>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[Schreiben; konkreter aktueller Nachteil]</w:t>
            </w:r>
          </w:p>
        </w:tc>
      </w:tr>
      <w:tr>
        <w:trPr>
          <w:cantSplit/>
        </w:trPr>
        <w:tc>
          <w:tcPr>
            <w:tcW w:type="dxa" w:w="1077"/>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K14</w:t>
            </w:r>
          </w:p>
        </w:tc>
        <w:tc>
          <w:tcPr>
            <w:tcW w:type="dxa" w:w="4365"/>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Abschließende Liste der Daten, Zeitraum und Nutzungsform des Feststellungsantrags.</w:t>
            </w:r>
          </w:p>
        </w:tc>
        <w:tc>
          <w:tcPr>
            <w:tcW w:type="dxa" w:w="3515"/>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[Eindeutig abgrenzbare Bestände]</w:t>
            </w:r>
          </w:p>
        </w:tc>
      </w:tr>
      <w:tr>
        <w:trPr>
          <w:cantSplit/>
        </w:trPr>
        <w:tc>
          <w:tcPr>
            <w:tcW w:type="dxa" w:w="1077"/>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K15</w:t>
            </w:r>
          </w:p>
        </w:tc>
        <w:tc>
          <w:tcPr>
            <w:tcW w:type="dxa" w:w="4365"/>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Eigenständiger Nutzen der Feststellung; Abgrenzung von neuem Bescheid- oder Zugangsstreit.</w:t>
            </w:r>
          </w:p>
        </w:tc>
        <w:tc>
          <w:tcPr>
            <w:tcW w:type="dxa" w:w="3515"/>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[Tatsächlicher aktueller Anlass]</w:t>
            </w:r>
          </w:p>
        </w:tc>
      </w:tr>
      <w:tr>
        <w:trPr>
          <w:cantSplit/>
        </w:trPr>
        <w:tc>
          <w:tcPr>
            <w:tcW w:type="dxa" w:w="1077"/>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K16</w:t>
            </w:r>
          </w:p>
        </w:tc>
        <w:tc>
          <w:tcPr>
            <w:tcW w:type="dxa" w:w="4365"/>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Gesetzlich zuständiges Gericht und richtiger Beklagter.</w:t>
            </w:r>
          </w:p>
        </w:tc>
        <w:tc>
          <w:tcPr>
            <w:tcW w:type="dxa" w:w="3515"/>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[Getrennt vom Gericht des Vorprozesses prüfen]</w:t>
            </w:r>
          </w:p>
        </w:tc>
      </w:tr>
    </w:tbl>
    <w:p>
      <w:pPr>
        <w:spacing w:after="0"/>
      </w:pPr>
    </w:p>
    <w:p>
      <w:r>
        <w:t>Soweit ein Feld unbekannt ist, darf keine günstige Annahme eingesetzt werden. Insbesondere ist der Rechtskraftstatus anhand der Entscheidungen und Zustellungen zu bestimmen. Ein erstinstanzliches Unterliegen und eine unanfechtbare Sachentscheidung sind nicht gleichzusetzen. Eine Abweisung wegen Fristversäumnis belegt eine andere Verfahrenslage als eine inhaltliche Zurückweisung der Programmrüge. Die neue Klage kann nur an die tatsächlich dokumentierten Anforderungen und Ereignisse anschließen.</w:t>
      </w:r>
    </w:p>
    <w:p>
      <w:pPr>
        <w:pStyle w:val="Heading2"/>
      </w:pPr>
      <w:r>
        <w:t>1.2 Was das frühere Verfahren für diese Klage belegt</w:t>
      </w:r>
    </w:p>
    <w:p>
      <w:r>
        <w:t>Die frühere Bescheidklage belegt die konkrete Abgabenbetroffenheit und die tatsächliche Inanspruchnahme gerichtlichen Rechtsschutzes. Die darin eingereichten Studien, Beweisanträge und Auskunftsersuchen zeigen, welche Erkenntnisse damals bereits vorgetragen waren. Die gerichtliche Begründung zeigt, welche weitere Substantiierung verlangt oder aus welchen anderen Gründen die Klage abgewiesen wurde. Diese Dokumentation unterscheidet den vorliegenden Fall von einer abstrakten Anfrage zur Programmqualität.</w:t>
      </w:r>
    </w:p>
    <w:p>
      <w:r>
        <w:t>Die Klägerseite leitet daraus aber keinen Anspruch auf eine neue Sachentscheidung über den alten Streitgegenstand ab. § 43 Abs. 2 VwGO erfasst ausdrücklich auch Rechte, die durch Gestaltungs- oder Leistungsklage hätten verfolgt werden können. Der Eintritt der Rechtskraft bestimmt sich nach § 121 VwGO. Eine auf unzureichenden Tatsachenvortrag gestützte Sachabweisung ist nicht allein deshalb unverbindlich, weil das Gericht keine Volluntersuchung des Programms vorgenommen hat. [R02]</w:t>
      </w:r>
    </w:p>
    <w:p>
      <w:r>
        <w:t>Die rechtliche Funktion des Vorprozesses ist daher enger: Er konkretisiert das Anforderungsprofil, auf das die späteren Bemühungen der Klägerseite antworten. Der nachfolgende Konflikt muss einen eigenständigen Gegenstand haben. Neue Argumente oder ein neues Gutachten zum selben alten Bescheid genügen dafür nicht automatisch. Die Klägerseite trennt die Anerkennung dieser Bindung von der Frage, welche Pflichten die Beklagte in einer späteren aktuellen Auseinandersetzung treffen.</w:t>
      </w:r>
    </w:p>
    <w:p>
      <w:pPr>
        <w:pStyle w:val="Heading2"/>
      </w:pPr>
      <w:r>
        <w:t>1.3 Anschluss an den tatsächlichen Abweisungsgrund</w:t>
      </w:r>
    </w:p>
    <w:p>
      <w:r>
        <w:t>Die im Fallblatt mit Fundstelle bezeichnete tragende Begründung wird dem damals eingereichten Vortrag gegenübergestellt. Hat das Gericht etwa die zeitliche Reichweite, den Bezug zum Gesamtangebot oder eine fehlende wissenschaftliche Absicherung beanstandet, ist genau dieser Gesichtspunkt Ausgangspunkt der weiteren Beschaffung. Der pauschale Satz Das Gericht wollte alles genügt nicht. Die konkret verlangte Erkenntnisleistung und die dafür gesuchte Quelle müssen erkennbar zusammenhängen.</w:t>
      </w:r>
    </w:p>
    <w:p>
      <w:r>
        <w:t>Die Klägerseite hat die anschließenden Anfragen deshalb auf die im Bestandsblatt bezeichneten Informationen gerichtet. Die durch die Originalkorrespondenz belegte Beschränkung auf vorhandene Sendungen, Bestandsverzeichnisse, Metadaten oder bestimmte Beschwerdeunterlagen ist für den neuen Streit wesentlich. Das Verfahren ist nicht darauf angelegt, rückwirkend durch unbegrenzte Informationsforderungen einen zweiten Bescheidprozess zu erzeugen.</w:t>
      </w:r>
    </w:p>
    <w:p>
      <w:r>
        <w:t>Soweit der Vorprozess unabhängig von der Programmrüge aus einem anderen tragenden Grund erfolglos war, bleibt dieser Umstand sichtbar. Eine Zugangsschwierigkeit kann dann nicht als alleinige Ursache des Unterliegens ausgegeben werden. Sie kann allenfalls für einen hiervon getrennten gegenwärtigen Konflikt erheblich sein. Die Klägerseite behauptet keine Kausalität zwischen verweigerten Daten und dem Ausgang des Vorprozesses, die dessen Akte nicht trägt.</w:t>
      </w:r>
    </w:p>
    <w:p>
      <w:pPr>
        <w:pStyle w:val="Heading2"/>
      </w:pPr>
      <w:r>
        <w:t>1.4 Eigene Beschaffungsversuche und genau bestimmter Datenbestand</w:t>
      </w:r>
    </w:p>
    <w:p>
      <w:r>
        <w:t>Die im Fallblatt bezeichneten Anfragen und Antworten werden vollständig vorgelegt. Der begehrte Bestand wird nicht nur mit dem Wort Rohdaten beschrieben. Anzugeben sind die informationshaltende Stelle, der Zeitraum, das betroffene Angebot und die Datenart. Eine bereits veröffentlichte Sendung, ein vorhandenes Untertiteltranskript und ein interner redaktioneller Entscheidungsvermerk sind unterschiedliche Gegenstände. Für jeden wird dargelegt, welche konkrete Erkenntnis er ermöglichen soll.</w:t>
      </w:r>
    </w:p>
    <w:p>
      <w:r>
        <w:t>Der Bestand muss entweder belegt oder seine vermutete Existenz durch bestimmte Anhaltspunkte erklärt sein. Dazu können eine Archivbestätigung, ein öffentlicher Katalog, eine Veröffentlichung oder die ausdrückliche Antwort der Beklagten dienen. Eine unbewiesene Vorstellung, jeder Sender besitze alle gewünschten Daten vollständig in einem einheitlichen System, wird nicht zur Tatsachenbehauptung gemacht. Fehlender Bestand und verweigerter Zugang zu vorhandenem Bestand sind zu unterscheiden.</w:t>
      </w:r>
    </w:p>
    <w:p>
      <w:r>
        <w:t>Die Beklagte wird nur für ihre eigene Rechtsposition und ihren eigenen Verantwortungsbereich in Anspruch genommen. Antworten des ZDF, von Deutschlandradio oder anderer Archive können die tatsächliche Gesamtlage verdeutlichen. Sie belegen aber nicht ohne Weiteres eine eigene Ablehnung durch die hier beklagte Landesrundfunkanstalt. Eine Zuständigkeit für das Beitragsverhältnis schafft keine tatsächliche Verfügungsmacht über alle fremden Archive.</w:t>
      </w:r>
    </w:p>
    <w:p>
      <w:pPr>
        <w:pStyle w:val="Heading2"/>
      </w:pPr>
      <w:r>
        <w:t>1.5 Öffentliche Alternativen und milde Nutzungsformen</w:t>
      </w:r>
    </w:p>
    <w:p>
      <w:r>
        <w:t>Die Klägerseite berücksichtigt öffentliche Mediatheken und angebotene wissenschaftliche Archivzugänge. Die gemeinsamen Untersuchungen zeigen bereits, dass bestimmte große Korpora öffentlich erschlossen werden konnten. Daraus folgt kein generelles Informationsmonopol. Der vorliegende Konflikt betrifft die nach dokumentierten eigenen Recherchen verbliebene konkrete Lücke. [S07; S08; E27]</w:t>
      </w:r>
    </w:p>
    <w:p>
      <w:r>
        <w:t>Die angebotenen Alternativen werden im Fallblatt mit ihrem tatsächlichen Inhalt erfasst. Ein Präsenztermin, eine begrenzte Nutzung, ein vorhandener Standardexport oder eine Rechteklärung sind nicht gleichbedeutend mit einer endgültigen Verweigerung. Die Klägerseite muss nachvollziehbar darlegen, weshalb eine tatsächlich angebotene Form den bestimmten Erkenntniszweck erfüllt oder nicht erfüllt. Die Ablehnung eines zumutbaren geeigneten Zugangs kann nicht der Beklagten als Erkenntnissperre zugerechnet werden.</w:t>
      </w:r>
    </w:p>
    <w:p>
      <w:r>
        <w:t>Die begrenzte These dieses Verfahrens setzt daher nicht jeden Mehraufwand mit Rechtswidrigkeit gleich. Sie betrifft eine anhand der Unterlagen belegte Situation, in der ein bestimmter notwendiger Erkenntnisschritt nicht zumutbar erreichbar blieb und die Beklagte gleichwohl in der aktuellen Beziehung das Fehlen dieser Erkenntnis uneingeschränkt gegen die Klägerseite verwendet. Die Tatsachen zu Notwendigkeit, Bestand, Hindernis und aktueller Verwendung sind voneinander zu unterscheiden.</w:t>
      </w:r>
    </w:p>
    <w:p>
      <w:pPr>
        <w:pStyle w:val="Heading2"/>
      </w:pPr>
      <w:r>
        <w:t>1.6 Gegenwärtiger Streit statt nachträglicher Genugtuung</w:t>
      </w:r>
    </w:p>
    <w:p>
      <w:r>
        <w:t>Die aktuelle Auseinandersetzung ergibt sich aus der im Fallblatt bezeichneten fortbestehenden Beitragsbeziehung und den dort benannten aktuellen Schreiben. Die Klägerseite verlangt keine nachträgliche Feststellung, dass das frühere Gericht unrichtig entschieden habe. Sie erstrebt Handlungssicherheit im Umgang mit einem jetzt bestehenden Konflikt über die von der Beklagten verlangte Erkenntnisleistung und den von ihr zugleich bestimmten Zugang.</w:t>
      </w:r>
    </w:p>
    <w:p>
      <w:r>
        <w:t>Die beanspruchte Rechtswirkung muss über den bloßen Wunsch hinausgehen, in einem späteren Verfahren besser argumentieren zu können. Die Klägerseite wendet sich gegen das konkret dokumentierte gegenwärtige Verhalten der Beklagten, den benannten Einwand ausschließlich wegen der fehlenden Auswertung der näher bezeichneten Bestände unbeachtet zu lassen. An diese aktuelle tatsächliche Handhabung knüpft der begrenzte Feststellungsantrag an.</w:t>
      </w:r>
    </w:p>
    <w:p>
      <w:r>
        <w:t>Die Bedeutung einer Entscheidung liegt nach der hier vertretenen Auffassung darin, den Umgang der Beklagten mit derselben konkret bezeichneten Erkenntnislage zwischen diesen Beteiligten zu klären. Ein Gericht in einem anderen Verfahren bleibt für Sachaufklärung und Beweiswürdigung verantwortlich. Die begehrte Feststellung soll keine allgemeine Beweisregel schaffen und keinen Anspruch auf ein bestimmtes Programm begründen.</w:t>
      </w:r>
    </w:p>
    <w:p>
      <w:pPr>
        <w:pStyle w:val="Heading2"/>
      </w:pPr>
      <w:r>
        <w:t>1.7 Wortlaut und Begrenzung des begehrten Feststellungsinhalts</w:t>
      </w:r>
    </w:p>
    <w:p>
      <w:r>
        <w:t>Der im Antragsblatt formulierte Feststellungsinhalt wird auf die dort bezeichneten aktuellen Schreiben, den genau bezeichneten Bestand und den konkreten Untersuchungszeitraum begrenzt. Die Klägerseite macht geltend, die Beklagte sei unter den belegten Umständen nicht berechtigt, in der aktuellen außerprozessualen Behandlung des Einwands allein das Fehlen einer wissenschaftlichen Auswertung eben dieser Bestände entgegenzuhalten, ohne die von ihr mitverursachte und dokumentierte Zugangslage zu berücksichtigen.</w:t>
      </w:r>
    </w:p>
    <w:p>
      <w:r>
        <w:t>Gegenstand ist damit die behauptete Pflicht zu konsistentem Verhalten in einer bestimmten bestehenden öffentlich-rechtlichen Beziehung. Nicht begehrt wird die Feststellung, dass das ganze Programm verfassungswidrig sei, dass alle künftigen Beiträge entfielen, dass sämtliche Archive herauszugeben seien oder dass Schweigen der Beklagten ein Geständnis ersetze. Die notwendige Feststellung der tatsächlichen Zugangslage ist Vorfrage dieses eng begrenzten Begehrens.</w:t>
      </w:r>
    </w:p>
    <w:p>
      <w:r>
        <w:t>Diese Begrenzung ist keine bloße Umbenennung eines alten Anfechtungsantrags. Sie führt nur dann zu einem selbständigen Gegenstand, wenn der aktuelle Konflikt und die daraus beanspruchte eigene Rechtswirkung tatsächlich belegt sind. Fehlt diese Abgrenzung, kann die neue Klage nicht durch zusätzliche Seiten Programmkritik gerettet werden. Die vorliegende Begründung setzt den konkret ausgefüllten und belegten Sachverhalt voraus; sie ersetzt ihn nicht.</w:t>
      </w:r>
    </w:p>
    <w:p>
      <w:pPr>
        <w:pStyle w:val="Heading2"/>
      </w:pPr>
      <w:r>
        <w:t>1.8 Materielle Herleitung aus der besonderen Beitragsbeziehung</w:t>
      </w:r>
    </w:p>
    <w:p>
      <w:r>
        <w:t>Die Klägerseite stützt den Entwicklungsansatz auf die bestehende abgabenrechtliche Beziehung und den im öffentlichen Recht zu prüfenden Grundsatz von Treu und Glauben. Aus dieser Beziehung soll keine neue synallagmatische Programmleistungspflicht abgeleitet werden. R01 verneint gerade einen unmittelbaren Austausch zwischen individuellem Beitrag und einem bestimmten Qualitätserfolg. Die hier geltend gemachte Bindung betrifft stattdessen das konkrete Verhalten der Beklagten bei einer von ihr selbst mitbestimmten Erkenntnissituation. [R01, Rn. 21-33; R12]</w:t>
      </w:r>
    </w:p>
    <w:p>
      <w:r>
        <w:t>Die Herleitung lautet in drei Schritten. Erstens muss eine konkrete rechtliche Beziehung bestehen, in der die Beklagte vom Kläger eine bestimmte Darlegung verlangt oder deren Fehlen zum ausschließlichen Grund ihrer aktuellen Zurückweisung macht. Zweitens muss die Beklagte über gerade die dafür benötigten vorhandenen Erkenntnisgrundlagen verfügen oder ihren Zugang wesentlich bestimmen. Drittens muss trotz geeigneter begrenzter Anfragen und angebotener milder Nutzungsformen eine nicht durch gleichwertige zumutbare Alternativen schließbare Lücke verbleiben.</w:t>
      </w:r>
    </w:p>
    <w:p>
      <w:r>
        <w:t>Unter diesen Voraussetzungen vertritt die Klägerseite, dass das anschließende uneingeschränkte Entgegenhalten gerade dieses Erkenntnisdefizits rechtlich nicht bedeutungslos sein darf. Die Konsequenz wird nicht als automatische Befreiung vom Beitrag verstanden. Beansprucht wird die Berücksichtigung des eigenen zugangsbezogenen Verhaltens bei der aktuellen Behandlung des Einwands. Das ist eine begrenzte Nebenpflichtthese, die aus dem bestimmten Verhältnis entwickelt wird.</w:t>
      </w:r>
    </w:p>
    <w:p>
      <w:r>
        <w:t>Die Herleitung ist nicht dadurch erledigt, dass das Verhalten widersprüchlich genannt wird. Eine rechtmäßige Geheimhaltung oder das Fehlen eines Anspruchs auf die begehrte Information kann ein sachlicher Grund für die Begrenzung sein. Auch ein ungeeignetes oder unverhältnismäßiges Ersuchen begründet die beanspruchte Bindung nicht ohne Weiteres. Die Klägerseite muss deshalb die Schutzbelange und Alternativen ausdrücklich behandeln. Der bloße Gegensatz zwischen Beitragserhebung und verweigertem Wunschzugang genügt nicht.</w:t>
      </w:r>
    </w:p>
    <w:p>
      <w:pPr>
        <w:pStyle w:val="Heading2"/>
      </w:pPr>
      <w:r>
        <w:t>1.9 Art. 19 Abs. 4 GG als Auslegungsmaßstab, nicht als Ersatz aller Tatbestände</w:t>
      </w:r>
    </w:p>
    <w:p>
      <w:r>
        <w:t>Der Anspruch auf effektiven Rechtsschutz verstärkt nach Auffassung der Klägerseite das Erfordernis, konkrete Erkenntnisbarrieren nicht nur formal zu betrachten. Er gewährleistet aber nicht ohne Weiteres einen materiellen Herausgabeanspruch gegen jede informationshaltende Stelle. Ebenso wenig erlaubt er, prozessuale Anforderungen und Rechtskraftgrenzen zu umgehen. Die Klägerseite verwendet ihn deshalb als verfassungsrechtlichen Auslegungsmaßstab der begrenzten Beziehung, nicht als alleinige Antwort auf alle Zulässigkeits- und Anspruchsfragen. [R12; R02]</w:t>
      </w:r>
    </w:p>
    <w:p>
      <w:r>
        <w:t>Der VGH Baden-Württemberg hat die wirtschaftliche Zumutbarkeit der Beschaffung eines aufwendigen Privatgutachtens problematisiert. Dieser Gedanke kann die konkrete Hürde verdeutlichen, begründet aber nicht selbst die hiesige Nebenpflicht gegen die Anstalt. Umgekehrt schließt die allgemeine Erwartung wissenschaftlich unterlegten Vortrags in R01 eine Untersuchung besonderer, tatsächlich belegter Erkenntnisbarrieren nicht logisch aus. Der Streit betrifft die rechtliche Behandlung genau dieser Barriere, nicht die Abschaffung jeder Substantiierungsanforderung. [R03, S. 30-32; R01, Rn. 48]</w:t>
      </w:r>
    </w:p>
    <w:p>
      <w:r>
        <w:t>Die Einbeziehung des Grundrechts darf ferner nicht die Rollen von Gericht und Beklagter verwischen. Die gerichtliche Sachaufklärung folgt aus der VwGO. Die Beklagte kann diese Pflicht weder ersetzen noch durch eine private Aussage verbindlich beschränken. Die hiesige Feststellung soll daher ausschließlich ihr eigenes Verhalten in der aktuellen Beziehung betreffen. Die Grenze zu einer bloßen Vorfrage späterer Prozesse ist besonders sorgfältig zu bestimmen.</w:t>
      </w:r>
    </w:p>
    <w:p>
      <w:pPr>
        <w:pStyle w:val="Heading2"/>
      </w:pPr>
      <w:r>
        <w:t>1.10 Feststellungsfähiges Rechtsverhältnis und die Gegenposition</w:t>
      </w:r>
    </w:p>
    <w:p>
      <w:r>
        <w:t>Nach der Rechtsprechung des Bundesverwaltungsgerichts muss eine konkrete, durch Anwendung einer Rechtsnorm geordnete Beziehung zwischen den Beteiligten streitig sein. Ein bestimmtes Tun oder Unterlassen muss daraus verlangt werden; die Klage dient dem Schutz eigener Rechte, nicht einer allgemeinen objektiven Rechtskontrolle. Dies wird insbesondere in 4 CN 2.14, Rn. 11-12, beschrieben. Die Klägerseite bezieht ihr Begehren deshalb auf ihre eigene fortbestehende Beziehung und ein konkretes aktuelles Verhalten. [R16]</w:t>
      </w:r>
    </w:p>
    <w:p>
      <w:r>
        <w:t>Besonders ernst zu nehmen ist der Beschluss 6 B 25.07 vom 26. Juli 2007. Dort wird eine isolierte Feststellung zur Richtigkeit einzelner methodischer Schritte als unselbständiges Element eines anderen Rechtsverhältnisses behandelt. Dieser Einwand kann auch hier eingreifen, wenn der Antrag in Wahrheit nur die wissenschaftliche Methode, die Beweislast oder einen gerichtlichen Prüfungsmaßstab festlegen soll. Die Klägerseite verschweigt diese Parallele nicht. [R15, Rn. 4]</w:t>
      </w:r>
    </w:p>
    <w:p>
      <w:r>
        <w:t>Die hier vertretene Abgrenzung liegt darin, dass nicht die Richtigkeit einer abstrakten Untersuchungsmethode festgestellt werden soll. Beanstandet wird ein bestimmtes aktuelles Verhalten der Beklagten, das auf der dokumentierten Wechselwirkung zwischen ihrem Informationszugang und ihrer eigenen Zurückweisung beruht. Die beanspruchte Pflicht soll in dieser Beziehung unmittelbar gelten, nicht nur als Aussage darüber, wie ein späteres Gericht Beweise zu würdigen hätte.</w:t>
      </w:r>
    </w:p>
    <w:p>
      <w:r>
        <w:t>Ob diese Abgrenzung rechtlich trägt, ist der entscheidende offene Punkt des Entwicklungsansatzes. Die bloße Verwendung des Wortes Nebenpflicht oder Konsistenzbindung schafft kein selbständiges Rechtsverhältnis. Die Klägerseite macht die Grenze deshalb am konkreten beantragten Unterlassen und dessen gegenwärtiger Wirkung fest. Wird das Begehren gleichwohl als unselbständige Vorfrage eingeordnet, ist dies kein durch zusätzliche empirische Unterlagen zu behebender Mangel, sondern eine Rechtsfrage dieser Klageart.</w:t>
      </w:r>
    </w:p>
    <w:p>
      <w:pPr>
        <w:pStyle w:val="Heading2"/>
      </w:pPr>
      <w:r>
        <w:t>1.11 Berechtigtes Interesse an baldiger Feststellung</w:t>
      </w:r>
    </w:p>
    <w:p>
      <w:r>
        <w:t>Das Feststellungsinteresse ist anhand der aktuellen Handhabung der Beklagten und der konkreten fortbestehenden Unsicherheit zu begründen. Die Klägerseite muss wissen, ob die Beklagte ihren bestimmten Einwand unter den dokumentierten Zugangsbedingungen weiterhin allein wegen der fehlenden Untersuchung unbeachtet lassen darf. Dieses Interesse ist von der bloßen wissenschaftlichen Neugier an allgemein geltenden Beweisregeln zu unterscheiden.</w:t>
      </w:r>
    </w:p>
    <w:p>
      <w:r>
        <w:t>Die frühere Niederlage verstärkt den tatsächlichen Bezug, ersetzt aber den gegenwärtigen Anlass nicht. Die im Fallblatt bezeichneten aktuellen Beitragsperioden, Schreiben oder sonstigen rechtlichen Folgen müssen die Unsicherheit tragen. Sind keine solchen Folgen mehr vorhanden, ist eine andere Form des Feststellungsinteresses gesondert zu prüfen. Die Vorlage setzt weder ein beliebiges Rehabilitationsinteresse noch eine drohende erneute Belastung ohne Beleg voraus.</w:t>
      </w:r>
    </w:p>
    <w:p>
      <w:r>
        <w:t>Die Zahl paralleler Verfahren und das gemeinsame Projektziel begründen kein individuelles Feststellungsinteresse. Die Klägerseite verfolgt ihre eigene Rechtsposition. Eine Entscheidung in einem anderen Fall kann rechtlich interessant sein, schafft aber keine automatische Bindungswirkung für diesen Fall. Sämtliche eigenen Verfahrensfristen bleiben unabhängig von der Projektplanung zu beachten.</w:t>
      </w:r>
    </w:p>
    <w:p>
      <w:pPr>
        <w:pStyle w:val="Heading2"/>
      </w:pPr>
      <w:r>
        <w:t>1.12 Subsidiarität: ernsthafte Prüfung statt pauschaler Ausnahme</w:t>
      </w:r>
    </w:p>
    <w:p>
      <w:r>
        <w:t>§ 43 Abs. 2 VwGO steht einer Feststellung entgegen, soweit Rechte mit Gestaltungs- oder Leistungsklage verfolgt werden können oder hätten verfolgt werden können. Deshalb ist nicht allein entscheidend, dass ein Bescheidverfahren bereits stattgefunden hat. Entscheidend ist, ob das jetzt beanspruchte Recht schon damals mit diesem oder einem anderen sachnäheren Rechtsbehelf verfolgt werden konnte. Eine nachträglich bessere Begründung desselben alten Aufhebungsbegehrens eröffnet keinen neuen Weg. [R02]</w:t>
      </w:r>
    </w:p>
    <w:p>
      <w:r>
        <w:t>Die Rechtsprechung wendet die Subsidiarität jedoch ihrem Zweck entsprechend an. Im Beschluss 9 B 8.24 vom 8. August 2024, Rn. 18-20, wird darauf abgestellt, ob Umgehungen von Fristen und Vorverfahren drohen und ob die Feststellung eine selbständige streitige Beziehung effektiver klärt. Der dort entschiedene Fall betraf eine andere konkrete beitragsrechtliche Situation. Er wird deshalb nicht als bereits anerkannte Rundfunkzugangsklage ausgegeben. Er zeigt aber den rechtlichen Prüfweg, an den die Klägerseite ihre Abgrenzung anknüpft. [R14]</w:t>
      </w:r>
    </w:p>
    <w:p>
      <w:r>
        <w:t>Die hier beanspruchte Eigenständigkeit setzt voraus, dass die im Fallblatt dokumentierte aktuelle Zugangssituation und ihre gegenwärtige Verwendung nicht nur eine bereits abschließend entschiedene alte Bescheidfrage wiederholen. Ferner muss eine Leistungsklage auf Zugang zu den bestimmten Unterlagen konkret mitgeprüft werden. Bietet sie denselben oder wirksameren Rechtsschutz, ist sie nicht durch eine abstraktere Feststellung zu umgehen. Eine in einem Schreiben erteilte Rechtsbehelfsbelehrung und deren Fristen sind deshalb ernst zu nehmen.</w:t>
      </w:r>
    </w:p>
    <w:p>
      <w:r>
        <w:t>Die Klägerseite begründet den Feststellungsweg damit, dass ihr Begehren nicht mit der Herausgabe einer einzelnen Datei erschöpft sein soll, sondern die aktuelle rechtliche Behandlung einer bereits dokumentierten Erkenntnissituation betrifft. Diese Begründung darf allerdings nicht als universelle Ausnahme verstanden werden. Ergibt die Prüfung, dass ein bestimmter Zugang oder ein bestimmter aktueller Bescheid sachnäher zu verfolgen ist, fehlt eine tragfähige Grundlage für das Beharren auf dieser isolierten Feststellung.</w:t>
      </w:r>
    </w:p>
    <w:p>
      <w:r>
        <w:t>Auch die in R14, Randnummer 21, angesprochene Besonderheit öffentlicher Rechtsträger ist zu berücksichtigen: Eine Feststellung kann unter bestimmten Voraussetzungen genügen, wenn erwartet werden darf, dass der Rechtsträger sie beachtet und weiterer Leistungsrechtsschutz nicht benötigt wird. Diese Rechtsprechung spricht gegen eine schematische Ablehnung jeder Feststellung, sobald theoretisch eine Leistungsklage denkbar ist. Sie ersetzt aber weder das konkrete Rechtsverhältnis noch die Prüfung, ob hier tatsächlich dieselbe Handlungssicherheit erreicht wird. Die Klägerseite leitet daraus deshalb keine generelle Wahlfreiheit zwischen einer Datenzugangsklage und jeder Form von Feststellung ab. [R14, Rn. 21]</w:t>
      </w:r>
    </w:p>
    <w:p>
      <w:pPr>
        <w:pStyle w:val="Heading2"/>
      </w:pPr>
      <w:r>
        <w:t>1.13 Rechtskraft und neuer Sachverhalt</w:t>
      </w:r>
    </w:p>
    <w:p>
      <w:r>
        <w:t>Die rechtskräftig entschiedene alte Beitragspflicht wird nicht erneut zur Entscheidung gestellt. Die Klägerseite verlangt weder die Rückzahlung der damals bestätigten Beiträge noch die Feststellung ihrer damaligen Nichtschuld im Gewand eines neuen Antrags. Eine Wiederaufnahme wäre nur unter ihren eigenen gesetzlichen Voraussetzungen zu prüfen; sie wird mit diesem Schriftsatz nicht automatisch beantragt. [R02, §§ 121, 153]</w:t>
      </w:r>
    </w:p>
    <w:p>
      <w:r>
        <w:t>Die späteren eigenen Anfragen, Antworten und aktuellen Rechtswirkungen können tatsächlich neue Ereignisse sein. Ob sie einen neuen Streitgegenstand tragen, folgt aber nicht allein aus ihrem späteren Datum. Auch ein neuer Brief kann nur der Vorbereitung eines unzulässigen Zweitprozesses über denselben Anspruch dienen. Die Abgrenzung muss deshalb den Anspruchsinhalt, nicht nur die Chronologie betreffen.</w:t>
      </w:r>
    </w:p>
    <w:p>
      <w:r>
        <w:t>Die Klägerseite führt den Vorprozess als Beleg für das eigene tatsächliche Anforderungsprofil an. Die daraus entwickelte aktuelle Rechtsfrage wird getrennt von der Richtigkeit des alten Urteils gestellt. Diese Begrenzung wahrt nach ihrer Auffassung die Funktion der Rechtskraft und ermöglicht zugleich die Prüfung eines nicht notwendig von ihr erfassten späteren Konflikts. Ein umfassender Freibrief zur Neuverhandlung wird nicht beansprucht.</w:t>
      </w:r>
    </w:p>
    <w:p>
      <w:pPr>
        <w:pStyle w:val="Heading2"/>
      </w:pPr>
      <w:r>
        <w:t>1.14 Örtliche Zuständigkeit und Beklagtenbestimmung</w:t>
      </w:r>
    </w:p>
    <w:p>
      <w:r>
        <w:t>Für die isolierte Feststellungsklage ist die einschlägige Regel des § 52 VwGO anhand des tatsächlichen Streitgegenstands zu bestimmen. Insbesondere kommt die Anknüpfung an den Sitz der Beklagten nach Nummer 5 in Betracht. Der Gerichtsstand des früheren Anfechtungsverfahrens wird nicht automatisch übernommen. Eine bundesweite Auswahl von Wohnorten schafft daher keine gesetzliche Zuständigkeit aller früher angerufenen Gerichte. [R02]</w:t>
      </w:r>
    </w:p>
    <w:p>
      <w:r>
        <w:t>Die Beklagte ist der Rechtsträger, dem die aktuell beanstandete Handlung beziehungsweise Rechtsposition zugerechnet wird. Beitragsservice, ARD-Gemeinschaftsbezeichnung, ZDF und einzelne Landesrundfunkanstalten werden nicht austauschbar verwendet. Wenn die entscheidende Zugangsablehnung von einer anderen Anstalt stammt, muss die Anspruchs- und Beklagtenbestimmung entsprechend geprüft werden. Die gemeinsame Finanzierung allein begründet keine pauschale gegenseitige Verantwortlichkeit für jede Archiventscheidung.</w:t>
      </w:r>
    </w:p>
    <w:p>
      <w:r>
        <w:t>Das interne Projektziel von 102 verschiedenen Klägerseiten und zwei Fällen je Verwaltungsgericht ist kein Bestandteil der Zulässigkeitsbegründung. Eine Konzentration der gesetzlich zuständigen Gerichte kann sich aus dem gewählten Rechtsschutzgegenstand ergeben. Für jeden Fall sind daher das Gericht des Vorprozesses und das zuständige Gericht des neuen Verfahrens getrennt festzustellen. Die Klägerseite verlangt keine freie Wahl eines sachlich nicht zuständigen Gerichts.</w:t>
      </w:r>
    </w:p>
    <w:p>
      <w:pPr>
        <w:pStyle w:val="Heading2"/>
      </w:pPr>
      <w:r>
        <w:t>1.15 Bedeutung der gemeinsamen Programm- und Beschwerdebefunde</w:t>
      </w:r>
    </w:p>
    <w:p>
      <w:r>
        <w:t>Die Abschnitte 2 und 3 zeigen, dass die Untersuchung nicht auf einer inhaltsleeren Vermutung aufsetzt. Es liegen abgegrenzte Studien, eine nachgerechnete Datendatei und bestimmte Beschwerdefälle vor. Das O-Ton-Gutachten dokumentiert zugleich unterschiedliche öffentliche Verfügbarkeit bestimmter Formate. Die konkret erfassten ZDF-Verfahren zeigen, welche Informationen öffentlich vorhanden sein können und welche individuelle Zuordnung offenbleibt.</w:t>
      </w:r>
    </w:p>
    <w:p>
      <w:r>
        <w:t>Diese gemeinsamen Befunde ersetzen aber nicht die persönlichen Vorgänge aus dem Fallblatt. Ein anderer Nutzer kann Zugang erhalten haben, ohne dass dies den eigenen Zugang bereits beweist; ein anderer Nutzer kann eine Ablehnung erfahren haben, ohne dass die hier beklagte Stelle der Klägerseite etwas verweigerte. Die gemeinsamen Ergebnisse dienen der Erheblichkeit und Präzisierung bestimmter Fragen, nicht der Herstellung erfundener individueller Tatsachen.</w:t>
      </w:r>
    </w:p>
    <w:p>
      <w:r>
        <w:t>Ein Programmvollbeweis wird in diesem Feststellungsverfahren nicht als zusätzlicher eigenständiger Anspruch verfolgt. Es ist auch nicht sinnvoll, dessen große Untersuchungsanforderungen ungeprüft zur Voraussetzung jeder vorgelagerten Zugangsklärung zu machen. Umgekehrt darf eine tatsächliche Zugangsklärung nicht zur verdeckten Feststellung der Verfassungswidrigkeit des gesamten Rundfunks werden. Die unterschiedlichen Fragen werden deshalb in den Begehren getrennt.</w:t>
      </w:r>
    </w:p>
    <w:p>
      <w:pPr>
        <w:pStyle w:val="Heading2"/>
      </w:pPr>
      <w:r>
        <w:t>1.16 Entscheidungserhebliche Beweistatsachen</w:t>
      </w:r>
    </w:p>
    <w:p>
      <w:r>
        <w:t>Für die Zulässigkeit und Begründetheit sind vorrangig die eigene Belastung und Vorentscheidung, die tatsächlich erhobenen Anfragen, der belegte Bestand, die konkreten Antworten, erprobte Alternativen und die gegenwärtige Handhabung der Beklagten zu untersuchen. Diese Tatsachen sind grundsätzlich durch bestimmte Urkunden und gegebenenfalls Auskünfte feststellbar. Ein Sachverständiger kann erforderlich sein, soweit die Notwendigkeit einer bestimmten Datenart für einen konkreten wissenschaftlichen Prüfschritt fachlich beurteilt werden muss.</w:t>
      </w:r>
    </w:p>
    <w:p>
      <w:r>
        <w:t>Die Beweistatsache ist nicht, dass das ganze System unkontrollierbar sei. Eine geeignete fachliche Frage lautet beispielsweise, ob der bezeichnete Korpus mit den tatsächlich erhaltenen Daten für die konkret benannte Zeit- und Inhaltsaussage ausgewertet werden kann oder welche bestimmte Lücke dies verhindert. Die in Abschnitt 4 dargestellten Methodenprüfungen und begrenzten Dokumentenanfragen konkretisieren diesen Ansatz.</w:t>
      </w:r>
    </w:p>
    <w:p>
      <w:r>
        <w:t>Die Quellenbibliothek dient der Bereitstellung der gemeinsamen Unterlagen. Das individuelle Fallblatt und die entscheidenden Originalschreiben werden dagegen im konkreten Verfahren eingeführt. Das Gericht soll die behauptete neue Beziehung nicht aus Hunderten Dateien selbst zusammensuchen müssen. Das gemeinsame Belegregister kennzeichnet deshalb für jedes Dokument, welchen bestimmten Sachverhalt es trägt.</w:t>
      </w:r>
    </w:p>
    <w:p>
      <w:pPr>
        <w:pStyle w:val="Heading2"/>
      </w:pPr>
      <w:r>
        <w:t>1.17 Kosten, Verfahrensgestaltung und keine automatische Vollstreckungswirkung</w:t>
      </w:r>
    </w:p>
    <w:p>
      <w:r>
        <w:t>Die Feststellungsklage kann einen eigenen Streitwert und ein eigenes Kostenrisiko haben. Dieses wird nicht aus dem geringen Zahlbetrag eines alten Bescheids abgeleitet. Eine Zahl von 5.000 Euro ist weder automatisch richtig noch automatisch eine Obergrenze; maßgeblich ist die konkrete Bewertung nach dem Gerichtskostengesetz. Auch gerichtliche Beweiserhebung kann Auslagen verursachen. Die Klägerseite behauptet keine pauschale Kostenfreiheit. [R13; R02, §§ 154, 162, 188]</w:t>
      </w:r>
    </w:p>
    <w:p>
      <w:r>
        <w:t>Die Erhebung dieser Klage hemmt nicht automatisch die Vollstreckung alter oder neuer Forderungen und wahrt keine Frist in einem anderen Verfahren. Erforderlicher Eilrechtsschutz und weitere Rechtsbehelfe bleiben eigenständig zu prüfen. Ebenso werden frühere Anträge nicht stillschweigend zurückgenommen. Eine etwaige Änderung des Streitgegenstands bedarf einer bewussten verfahrensrechtlichen Entscheidung.</w:t>
      </w:r>
    </w:p>
    <w:p>
      <w:r>
        <w:t>Die Klägerseite bittet um einen konkreten Hinweis, falls das Gericht die bezeichnete aktuelle Beziehung als unselbständige Vorfrage oder eine andere Klageart als vorrangig ansieht. Diese Bitte begründet keine Erfolgsgarantie und ersetzt nicht die eigene Darlegung. Sie soll die Erörterung der entscheidenden Rechtsfrage ermöglichen, statt das Verfahren auf unbestimmte allgemeine Programmvorwürfe zu verlagern.</w:t>
      </w:r>
    </w:p>
    <w:p>
      <w:pPr>
        <w:pStyle w:val="Heading2"/>
      </w:pPr>
      <w:r>
        <w:t>1.18 Ergebnis des individuellen Feststellungsansatzes</w:t>
      </w:r>
    </w:p>
    <w:p>
      <w:r>
        <w:t>Die Klägerseite macht einen bestimmten, aus ihrer eigenen Vorgeschichte und der nachfolgenden aktuellen Auseinandersetzung entwickelten Anspruch geltend. Der verlorene Vorprozess ist ein konkreter Ausgangspunkt, nicht selbst die Anspruchsgrundlage. Die geltend gemachte Rechtsposition betrifft den begrenzten Umgang der Beklagten mit einer von ihr wesentlich mitbestimmten Erkenntnisbarriere. Der Antrag ist auf benannte Bestände, Schreiben und Folgen beschränkt.</w:t>
      </w:r>
    </w:p>
    <w:p>
      <w:r>
        <w:t>Die rechtlichen Gegenargumente aus Subsidiarität, Rechtskraft und fehlender Selbständigkeit werden ausdrücklich behandelt. Die Feststellungskonstruktion ist damit wesentlich weiter begründet als eine bloße Platzhalterformel. Sie bleibt jedoch ein zur gerichtlichen Prüfung gestellter Entwicklungsansatz. Die belastbare Entscheidung über seine Verwendung im Einzelfall setzt die tatsächliche aktuelle Beziehung und die Prüfung der Zuständigkeit voraus. Diese verbleibenden Voraussetzungen sind nicht durch allgemeine Quellen oder durch die Zahl paralleler Kläger ersetzbar.</w:t>
      </w:r>
    </w:p>
    <w:sectPr w:rsidR="00FC693F" w:rsidRPr="0006063C" w:rsidSect="00034616">
      <w:headerReference w:type="default" r:id="rId9"/>
      <w:footerReference w:type="default" r:id="rId10"/>
      <w:pgSz w:w="11906" w:h="16838"/>
      <w:pgMar w:top="1276" w:right="1474" w:bottom="1162" w:left="1474" w:header="595"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Seite </w:t>
    </w:r>
    <w:r/>
    <w:fldSimple w:instr="PAGE">
      <w:r>
        <w:t>1</w:t>
      </w:r>
    </w:fldSimple>
    <w:r>
      <w:rPr>
        <w:sz w:val="18"/>
      </w:rPr>
      <w:t xml:space="preserve"> von </w:t>
    </w:r>
    <w:r/>
    <w:fldSimple w:instr="NUMPAGES">
      <w: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40"/>
      <w:pBdr>
        <w:bottom w:val="single" w:sz="4" w:color="CCD4DC"/>
      </w:pBdr>
    </w:pPr>
    <w:r>
      <w:rPr>
        <w:color w:val="536374"/>
        <w:sz w:val="17"/>
      </w:rPr>
      <w:t>Abschnitt 1 | Projekt 51 | V5 | 04.10.2026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83" w:lineRule="auto" w:after="140"/>
    </w:pPr>
    <w:rPr>
      <w:rFonts w:ascii="Liberation Serif" w:hAnsi="Liberation Serif"/>
      <w:sz w:val="24"/>
      <w:lang w:val="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200"/>
      <w:outlineLvl w:val="0"/>
    </w:pPr>
    <w:rPr>
      <w:rFonts w:asciiTheme="majorHAnsi" w:eastAsiaTheme="majorEastAsia" w:hAnsiTheme="majorHAnsi" w:cstheme="majorBidi" w:ascii="Liberation Serif" w:hAnsi="Liberation Serif"/>
      <w:b/>
      <w:bCs/>
      <w:color w:val="172F45"/>
      <w:sz w:val="34"/>
      <w:szCs w:val="28"/>
      <w:lang w:val="de-DE"/>
    </w:rPr>
  </w:style>
  <w:style w:type="paragraph" w:styleId="Heading2">
    <w:name w:val="heading 2"/>
    <w:basedOn w:val="Normal"/>
    <w:next w:val="Normal"/>
    <w:link w:val="Heading2Char"/>
    <w:uiPriority w:val="9"/>
    <w:unhideWhenUsed/>
    <w:qFormat/>
    <w:rsid w:val="00FC693F"/>
    <w:pPr>
      <w:keepNext/>
      <w:keepLines/>
      <w:spacing w:before="260" w:after="140"/>
      <w:outlineLvl w:val="1"/>
    </w:pPr>
    <w:rPr>
      <w:rFonts w:asciiTheme="majorHAnsi" w:eastAsiaTheme="majorEastAsia" w:hAnsiTheme="majorHAnsi" w:cstheme="majorBidi" w:ascii="Liberation Serif" w:hAnsi="Liberation Serif"/>
      <w:b/>
      <w:bCs/>
      <w:color w:val="172F45"/>
      <w:sz w:val="26"/>
      <w:szCs w:val="26"/>
      <w:lang w:val="de-DE"/>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Theme="majorHAnsi" w:eastAsiaTheme="majorEastAsia" w:hAnsiTheme="majorHAnsi" w:cstheme="majorBidi" w:ascii="Liberation Serif" w:hAnsi="Liberation Serif"/>
      <w:b/>
      <w:bCs/>
      <w:color w:val="172F45"/>
      <w:sz w:val="24"/>
      <w:lang w:val="de-DE"/>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40" w:line="240" w:lineRule="auto" w:before="0"/>
      <w:contextualSpacing/>
    </w:pPr>
    <w:rPr>
      <w:rFonts w:asciiTheme="majorHAnsi" w:eastAsiaTheme="majorEastAsia" w:hAnsiTheme="majorHAnsi" w:cstheme="majorBidi" w:ascii="Liberation Serif" w:hAnsi="Liberation Serif"/>
      <w:b/>
      <w:color w:val="172F45"/>
      <w:spacing w:val="5"/>
      <w:kern w:val="28"/>
      <w:sz w:val="42"/>
      <w:szCs w:val="52"/>
      <w:lang w:val="de-D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80"/>
    </w:pPr>
    <w:rPr>
      <w:rFonts w:asciiTheme="majorHAnsi" w:eastAsiaTheme="majorEastAsia" w:hAnsiTheme="majorHAnsi" w:cstheme="majorBidi" w:ascii="Liberation Serif" w:hAnsi="Liberation Serif"/>
      <w:b w:val="0"/>
      <w:i/>
      <w:iCs/>
      <w:color w:val="172F45"/>
      <w:spacing w:val="15"/>
      <w:sz w:val="26"/>
      <w:szCs w:val="24"/>
      <w:lang w:val="de-D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Abschnitt 1 | Projekt 51</dc:title>
  <dc:subject>Modulare Klage- und Arbeitsfassung V5</dc:subject>
  <dc:creator/>
  <cp:keywords>Beitragsstopper; Projekt 51; V5; 2026-10-04</cp:keywords>
  <dc:description>Ausgearbeitete allgemeine Vorlage. Keine eingereichte oder unterschriebene Klage; individuelle Fallangaben sind einzusetzen.</dc:description>
  <cp:lastModifiedBy/>
  <cp:revision>1</cp:revision>
  <dcterms:created xsi:type="dcterms:W3CDTF">2013-12-23T23:15:00Z</dcterms:created>
  <dcterms:modified xsi:type="dcterms:W3CDTF">2013-12-23T23:15:00Z</dcterms:modified>
  <cp:category/>
</cp:coreProperties>
</file>