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Inhaltsverzeichnis</w:t>
      </w:r>
    </w:p>
    <w:p>
      <w:r>
        <w:t>Die Gliederungsziffern sind feste Fundstellen der modularen Fassung. Die Seitenzahlen der Gesamtfassung können sich nach Individualisierung verschieben. Quellenkürzel werden im Nachweisregister B01 aufgelöst.</w:t>
      </w:r>
    </w:p>
    <w:p>
      <w:pPr>
        <w:pStyle w:val="Heading2"/>
      </w:pPr>
      <w:r>
        <w:t>Abschnitt 1 - Eigenes unterlegenes Beitragsverfahren und neuer konkreter Feststellungsgegenstand</w:t>
      </w:r>
    </w:p>
    <w:p>
      <w:pPr>
        <w:spacing w:after="40" w:line="245" w:lineRule="auto"/>
      </w:pPr>
      <w:r>
        <w:rPr>
          <w:sz w:val="21"/>
        </w:rPr>
        <w:t>1.1 Verbindliches Fallblatt und individuelle Anlagen</w:t>
      </w:r>
    </w:p>
    <w:p>
      <w:pPr>
        <w:spacing w:after="40" w:line="245" w:lineRule="auto"/>
      </w:pPr>
      <w:r>
        <w:rPr>
          <w:sz w:val="21"/>
        </w:rPr>
        <w:t>1.2 Was das frühere Verfahren für diese Klage belegt</w:t>
      </w:r>
    </w:p>
    <w:p>
      <w:pPr>
        <w:spacing w:after="40" w:line="245" w:lineRule="auto"/>
      </w:pPr>
      <w:r>
        <w:rPr>
          <w:sz w:val="21"/>
        </w:rPr>
        <w:t>1.3 Anschluss an den tatsächlichen Abweisungsgrund</w:t>
      </w:r>
    </w:p>
    <w:p>
      <w:pPr>
        <w:spacing w:after="40" w:line="245" w:lineRule="auto"/>
      </w:pPr>
      <w:r>
        <w:rPr>
          <w:sz w:val="21"/>
        </w:rPr>
        <w:t>1.4 Eigene Beschaffungsversuche und genau bestimmter Datenbestand</w:t>
      </w:r>
    </w:p>
    <w:p>
      <w:pPr>
        <w:spacing w:after="40" w:line="245" w:lineRule="auto"/>
      </w:pPr>
      <w:r>
        <w:rPr>
          <w:sz w:val="21"/>
        </w:rPr>
        <w:t>1.5 Öffentliche Alternativen und milde Nutzungsformen</w:t>
      </w:r>
    </w:p>
    <w:p>
      <w:pPr>
        <w:spacing w:after="40" w:line="245" w:lineRule="auto"/>
      </w:pPr>
      <w:r>
        <w:rPr>
          <w:sz w:val="21"/>
        </w:rPr>
        <w:t>1.6 Gegenwärtiger Streit statt nachträglicher Genugtuung</w:t>
      </w:r>
    </w:p>
    <w:p>
      <w:pPr>
        <w:spacing w:after="40" w:line="245" w:lineRule="auto"/>
      </w:pPr>
      <w:r>
        <w:rPr>
          <w:sz w:val="21"/>
        </w:rPr>
        <w:t>1.7 Wortlaut und Begrenzung des begehrten Feststellungsinhalts</w:t>
      </w:r>
    </w:p>
    <w:p>
      <w:pPr>
        <w:spacing w:after="40" w:line="245" w:lineRule="auto"/>
      </w:pPr>
      <w:r>
        <w:rPr>
          <w:sz w:val="21"/>
        </w:rPr>
        <w:t>1.8 Materielle Herleitung aus der besonderen Beitragsbeziehung</w:t>
      </w:r>
    </w:p>
    <w:p>
      <w:pPr>
        <w:spacing w:after="40" w:line="245" w:lineRule="auto"/>
      </w:pPr>
      <w:r>
        <w:rPr>
          <w:sz w:val="21"/>
        </w:rPr>
        <w:t>1.9 Art. 19 Abs. 4 GG als Auslegungsmaßstab, nicht als Ersatz aller Tatbestände</w:t>
      </w:r>
    </w:p>
    <w:p>
      <w:pPr>
        <w:spacing w:after="40" w:line="245" w:lineRule="auto"/>
      </w:pPr>
      <w:r>
        <w:rPr>
          <w:sz w:val="21"/>
        </w:rPr>
        <w:t>1.10 Feststellungsfähiges Rechtsverhältnis und die Gegenposition</w:t>
      </w:r>
    </w:p>
    <w:p>
      <w:pPr>
        <w:spacing w:after="40" w:line="245" w:lineRule="auto"/>
      </w:pPr>
      <w:r>
        <w:rPr>
          <w:sz w:val="21"/>
        </w:rPr>
        <w:t>1.11 Berechtigtes Interesse an baldiger Feststellung</w:t>
      </w:r>
    </w:p>
    <w:p>
      <w:pPr>
        <w:spacing w:after="40" w:line="245" w:lineRule="auto"/>
      </w:pPr>
      <w:r>
        <w:rPr>
          <w:sz w:val="21"/>
        </w:rPr>
        <w:t>1.12 Subsidiarität: ernsthafte Prüfung statt pauschaler Ausnahme</w:t>
      </w:r>
    </w:p>
    <w:p>
      <w:pPr>
        <w:spacing w:after="40" w:line="245" w:lineRule="auto"/>
      </w:pPr>
      <w:r>
        <w:rPr>
          <w:sz w:val="21"/>
        </w:rPr>
        <w:t>1.13 Rechtskraft und neuer Sachverhalt</w:t>
      </w:r>
    </w:p>
    <w:p>
      <w:pPr>
        <w:spacing w:after="40" w:line="245" w:lineRule="auto"/>
      </w:pPr>
      <w:r>
        <w:rPr>
          <w:sz w:val="21"/>
        </w:rPr>
        <w:t>1.14 Örtliche Zuständigkeit und Beklagtenbestimmung</w:t>
      </w:r>
    </w:p>
    <w:p>
      <w:pPr>
        <w:spacing w:after="40" w:line="245" w:lineRule="auto"/>
      </w:pPr>
      <w:r>
        <w:rPr>
          <w:sz w:val="21"/>
        </w:rPr>
        <w:t>1.15 Bedeutung der gemeinsamen Programm- und Beschwerdebefunde</w:t>
      </w:r>
    </w:p>
    <w:p>
      <w:pPr>
        <w:spacing w:after="40" w:line="245" w:lineRule="auto"/>
      </w:pPr>
      <w:r>
        <w:rPr>
          <w:sz w:val="21"/>
        </w:rPr>
        <w:t>1.16 Entscheidungserhebliche Beweistatsachen</w:t>
      </w:r>
    </w:p>
    <w:p>
      <w:pPr>
        <w:spacing w:after="40" w:line="245" w:lineRule="auto"/>
      </w:pPr>
      <w:r>
        <w:rPr>
          <w:sz w:val="21"/>
        </w:rPr>
        <w:t>1.17 Kosten, Verfahrensgestaltung und keine automatische Vollstreckungswirkung</w:t>
      </w:r>
    </w:p>
    <w:p>
      <w:pPr>
        <w:spacing w:after="40" w:line="245" w:lineRule="auto"/>
      </w:pPr>
      <w:r>
        <w:rPr>
          <w:sz w:val="21"/>
        </w:rPr>
        <w:t>1.18 Ergebnis des individuellen Feststellungsansatzes</w:t>
      </w:r>
    </w:p>
    <w:p>
      <w:pPr>
        <w:pStyle w:val="Heading2"/>
      </w:pPr>
      <w:r>
        <w:t>Abschnitt 2 - Programmbezogene Befunde und ihre wissenschaftliche Einordnung</w:t>
      </w:r>
    </w:p>
    <w:p>
      <w:pPr>
        <w:spacing w:after="40" w:line="245" w:lineRule="auto"/>
      </w:pPr>
      <w:r>
        <w:rPr>
          <w:sz w:val="21"/>
        </w:rPr>
        <w:t>2.1 Vier unterschiedliche Gegenstände, die nicht verwechselt werden dürfen</w:t>
      </w:r>
    </w:p>
    <w:p>
      <w:pPr>
        <w:spacing w:after="40" w:line="245" w:lineRule="auto"/>
      </w:pPr>
      <w:r>
        <w:rPr>
          <w:sz w:val="21"/>
        </w:rPr>
        <w:t>2.2 Übersicht der tatsächlich erschlossenen Untersuchungsbestände</w:t>
      </w:r>
    </w:p>
    <w:p>
      <w:pPr>
        <w:spacing w:after="40" w:line="245" w:lineRule="auto"/>
      </w:pPr>
      <w:r>
        <w:rPr>
          <w:sz w:val="21"/>
        </w:rPr>
        <w:t>2.3 Müller: Untersuchungsrahmen und vollständig bezeichnete Zählgrundlage</w:t>
      </w:r>
    </w:p>
    <w:p>
      <w:pPr>
        <w:spacing w:after="40" w:line="245" w:lineRule="auto"/>
      </w:pPr>
      <w:r>
        <w:rPr>
          <w:sz w:val="21"/>
        </w:rPr>
        <w:t>2.4 Müller: konkrete positive Befunde und ihre begrenzte Übernahme</w:t>
      </w:r>
    </w:p>
    <w:p>
      <w:pPr>
        <w:spacing w:after="40" w:line="245" w:lineRule="auto"/>
      </w:pPr>
      <w:r>
        <w:rPr>
          <w:sz w:val="21"/>
        </w:rPr>
        <w:t>2.5 Glashaus: langjähriger Korpus statt einzelner Kommentar</w:t>
      </w:r>
    </w:p>
    <w:p>
      <w:pPr>
        <w:spacing w:after="40" w:line="245" w:lineRule="auto"/>
      </w:pPr>
      <w:r>
        <w:rPr>
          <w:sz w:val="21"/>
        </w:rPr>
        <w:t>2.6 Glashaus: Messverfahren, berichtetes Ergebnis und gerichtliche Bedeutung</w:t>
      </w:r>
    </w:p>
    <w:p>
      <w:pPr>
        <w:spacing w:after="40" w:line="245" w:lineRule="auto"/>
      </w:pPr>
      <w:r>
        <w:rPr>
          <w:sz w:val="21"/>
        </w:rPr>
        <w:t>2.7 Glashaus: bereits enthaltene Kontrollen und noch nicht nachgewiesene Validierung</w:t>
      </w:r>
    </w:p>
    <w:p>
      <w:pPr>
        <w:spacing w:after="40" w:line="245" w:lineRule="auto"/>
      </w:pPr>
      <w:r>
        <w:rPr>
          <w:sz w:val="21"/>
        </w:rPr>
        <w:t>2.8 O-Ton-Bericht: tatsächliche Korpora und absolute Ergebnisse</w:t>
      </w:r>
    </w:p>
    <w:p>
      <w:pPr>
        <w:spacing w:after="40" w:line="245" w:lineRule="auto"/>
      </w:pPr>
      <w:r>
        <w:rPr>
          <w:sz w:val="21"/>
        </w:rPr>
        <w:t>2.9 O-Ton-Bericht: zwei Erkennungswege und ihre Folgen</w:t>
      </w:r>
    </w:p>
    <w:p>
      <w:pPr>
        <w:spacing w:after="40" w:line="245" w:lineRule="auto"/>
      </w:pPr>
      <w:r>
        <w:rPr>
          <w:sz w:val="21"/>
        </w:rPr>
        <w:t>2.10 O-Ton-Bericht: tatsächliche Archivhinweise und historische Vergleichsgrenzen</w:t>
      </w:r>
    </w:p>
    <w:p>
      <w:pPr>
        <w:spacing w:after="40" w:line="245" w:lineRule="auto"/>
      </w:pPr>
      <w:r>
        <w:rPr>
          <w:sz w:val="21"/>
        </w:rPr>
        <w:t>2.11 Zusätzlich erschlossene Originaluntersuchung zur Ukraine-Berichterstattung</w:t>
      </w:r>
    </w:p>
    <w:p>
      <w:pPr>
        <w:spacing w:after="40" w:line="245" w:lineRule="auto"/>
      </w:pPr>
      <w:r>
        <w:rPr>
          <w:sz w:val="21"/>
        </w:rPr>
        <w:t>2.12 Jeitner: das wiedergefundene Original und die jetzt mögliche genaue Verwendung</w:t>
      </w:r>
    </w:p>
    <w:p>
      <w:pPr>
        <w:spacing w:after="40" w:line="245" w:lineRule="auto"/>
      </w:pPr>
      <w:r>
        <w:rPr>
          <w:sz w:val="21"/>
        </w:rPr>
        <w:t>2.13 Reformdiagnosen, Insiderberichte und noch nicht erschlossene Themenkomplexe</w:t>
      </w:r>
    </w:p>
    <w:p>
      <w:pPr>
        <w:spacing w:after="40" w:line="245" w:lineRule="auto"/>
      </w:pPr>
      <w:r>
        <w:rPr>
          <w:sz w:val="21"/>
        </w:rPr>
        <w:t>2.14 Konkreter Programm- und Kontrollfall: heute journal vom 15. Februar 2026</w:t>
      </w:r>
    </w:p>
    <w:p>
      <w:pPr>
        <w:spacing w:after="40" w:line="245" w:lineRule="auto"/>
      </w:pPr>
      <w:r>
        <w:rPr>
          <w:sz w:val="21"/>
        </w:rPr>
        <w:t>2.15 Zeitliche Zusammenführung ohne Scheingenauigkeit</w:t>
      </w:r>
    </w:p>
    <w:p>
      <w:pPr>
        <w:spacing w:after="40" w:line="245" w:lineRule="auto"/>
      </w:pPr>
      <w:r>
        <w:rPr>
          <w:sz w:val="21"/>
        </w:rPr>
        <w:t>2.16 Gesamtangebot, Ausgleich und die Grenzen einer bloßen Addition</w:t>
      </w:r>
    </w:p>
    <w:p>
      <w:pPr>
        <w:spacing w:after="40" w:line="245" w:lineRule="auto"/>
      </w:pPr>
      <w:r>
        <w:rPr>
          <w:sz w:val="21"/>
        </w:rPr>
        <w:t>2.17 Ausformulierte Indikatoren für die weitere Prüfung</w:t>
      </w:r>
    </w:p>
    <w:p>
      <w:pPr>
        <w:spacing w:after="40" w:line="245" w:lineRule="auto"/>
      </w:pPr>
      <w:r>
        <w:rPr>
          <w:sz w:val="21"/>
        </w:rPr>
        <w:t>2.18 Das positive Ergebnis dieses Abschnitts</w:t>
      </w:r>
    </w:p>
    <w:p>
      <w:pPr>
        <w:pStyle w:val="Heading2"/>
      </w:pPr>
      <w:r>
        <w:t>Abschnitt 3 - Programmbeschwerden, Gremienkontrolle und nachgeprüfte Fallgruppen</w:t>
      </w:r>
    </w:p>
    <w:p>
      <w:pPr>
        <w:spacing w:after="40" w:line="245" w:lineRule="auto"/>
      </w:pPr>
      <w:r>
        <w:rPr>
          <w:sz w:val="21"/>
        </w:rPr>
        <w:t>3.1 Rechtliche Funktion: Kontrollweg, aber kein Ersatz jedes gerichtlichen Rechtsschutzes</w:t>
      </w:r>
    </w:p>
    <w:p>
      <w:pPr>
        <w:spacing w:after="40" w:line="245" w:lineRule="auto"/>
      </w:pPr>
      <w:r>
        <w:rPr>
          <w:sz w:val="21"/>
        </w:rPr>
        <w:t>3.2 Verwendete Originaldatei und tatsächlicher Prüfumfang</w:t>
      </w:r>
    </w:p>
    <w:p>
      <w:pPr>
        <w:spacing w:after="40" w:line="245" w:lineRule="auto"/>
      </w:pPr>
      <w:r>
        <w:rPr>
          <w:sz w:val="21"/>
        </w:rPr>
        <w:t>3.3 Feldbeschreibung: Was der Export enthält und was nicht</w:t>
      </w:r>
    </w:p>
    <w:p>
      <w:pPr>
        <w:spacing w:after="40" w:line="245" w:lineRule="auto"/>
      </w:pPr>
      <w:r>
        <w:rPr>
          <w:sz w:val="21"/>
        </w:rPr>
        <w:t>3.4 Zähleinheiten und die Gefahr der Mehrfachzählung</w:t>
      </w:r>
    </w:p>
    <w:p>
      <w:pPr>
        <w:spacing w:after="40" w:line="245" w:lineRule="auto"/>
      </w:pPr>
      <w:r>
        <w:rPr>
          <w:sz w:val="21"/>
        </w:rPr>
        <w:t>3.5 Abgleich mit den im Gutachten wiedergegebenen Dashboard-Werten</w:t>
      </w:r>
    </w:p>
    <w:p>
      <w:pPr>
        <w:spacing w:after="40" w:line="245" w:lineRule="auto"/>
      </w:pPr>
      <w:r>
        <w:rPr>
          <w:sz w:val="21"/>
        </w:rPr>
        <w:t>3.6 Medien- und Senderverteilung als Grundlage gezielter Teilmengen</w:t>
      </w:r>
    </w:p>
    <w:p>
      <w:pPr>
        <w:spacing w:after="40" w:line="245" w:lineRule="auto"/>
      </w:pPr>
      <w:r>
        <w:rPr>
          <w:sz w:val="21"/>
        </w:rPr>
        <w:t>3.7 Zeitverteilung und Datenqualität</w:t>
      </w:r>
    </w:p>
    <w:p>
      <w:pPr>
        <w:spacing w:after="40" w:line="245" w:lineRule="auto"/>
      </w:pPr>
      <w:r>
        <w:rPr>
          <w:sz w:val="21"/>
        </w:rPr>
        <w:t>3.8 Vorwurfskategorien: Untersuchungsanlass statt bereits festgestellter Verstoß</w:t>
      </w:r>
    </w:p>
    <w:p>
      <w:pPr>
        <w:spacing w:after="40" w:line="245" w:lineRule="auto"/>
      </w:pPr>
      <w:r>
        <w:rPr>
          <w:sz w:val="21"/>
        </w:rPr>
        <w:t>3.9 Ein differenziertes Wirkungsmodell</w:t>
      </w:r>
    </w:p>
    <w:p>
      <w:pPr>
        <w:spacing w:after="40" w:line="245" w:lineRule="auto"/>
      </w:pPr>
      <w:r>
        <w:rPr>
          <w:sz w:val="21"/>
        </w:rPr>
        <w:t>3.10 Fallgruppe F01: heute journal vom 15. Februar 2026</w:t>
      </w:r>
    </w:p>
    <w:p>
      <w:pPr>
        <w:spacing w:after="40" w:line="245" w:lineRule="auto"/>
      </w:pPr>
      <w:r>
        <w:rPr>
          <w:sz w:val="21"/>
        </w:rPr>
        <w:t>3.11 F01: gesicherte Verbindung und offenbleibende Kausalität</w:t>
      </w:r>
    </w:p>
    <w:p>
      <w:pPr>
        <w:spacing w:after="40" w:line="245" w:lineRule="auto"/>
      </w:pPr>
      <w:r>
        <w:rPr>
          <w:sz w:val="21"/>
        </w:rPr>
        <w:t>3.12 Fallgruppe F02: Schlagabtausch vom 6. Februar 2025</w:t>
      </w:r>
    </w:p>
    <w:p>
      <w:pPr>
        <w:spacing w:after="40" w:line="245" w:lineRule="auto"/>
      </w:pPr>
      <w:r>
        <w:rPr>
          <w:sz w:val="21"/>
        </w:rPr>
        <w:t>3.13 Fallgruppe F03: Nuhr im Ersten vom 29. Mai 2025</w:t>
      </w:r>
    </w:p>
    <w:p>
      <w:pPr>
        <w:spacing w:after="40" w:line="245" w:lineRule="auto"/>
      </w:pPr>
      <w:r>
        <w:rPr>
          <w:sz w:val="21"/>
        </w:rPr>
        <w:t>3.14 Ergebnis der drei Fallgruppen</w:t>
      </w:r>
    </w:p>
    <w:p>
      <w:pPr>
        <w:spacing w:after="40" w:line="245" w:lineRule="auto"/>
      </w:pPr>
      <w:r>
        <w:rPr>
          <w:sz w:val="21"/>
        </w:rPr>
        <w:t>3.15 Externe Vergleichsbefunde der September-Fassung</w:t>
      </w:r>
    </w:p>
    <w:p>
      <w:pPr>
        <w:spacing w:after="40" w:line="245" w:lineRule="auto"/>
      </w:pPr>
      <w:r>
        <w:rPr>
          <w:sz w:val="21"/>
        </w:rPr>
        <w:t>3.16 Organisation und Programmwirkung: die erforderliche Verbindung</w:t>
      </w:r>
    </w:p>
    <w:p>
      <w:pPr>
        <w:spacing w:after="40" w:line="245" w:lineRule="auto"/>
      </w:pPr>
      <w:r>
        <w:rPr>
          <w:sz w:val="21"/>
        </w:rPr>
        <w:t>3.17 Konkrete Beweisfunktion und begrenzte Aufklärung</w:t>
      </w:r>
    </w:p>
    <w:p>
      <w:pPr>
        <w:spacing w:after="40" w:line="245" w:lineRule="auto"/>
      </w:pPr>
      <w:r>
        <w:rPr>
          <w:sz w:val="21"/>
        </w:rPr>
        <w:t>3.18 Schlussfolgerung: was nun tatsächlich vorgetragen ist</w:t>
      </w:r>
    </w:p>
    <w:p>
      <w:pPr>
        <w:pStyle w:val="Heading2"/>
      </w:pPr>
      <w:r>
        <w:t>Abschnitt 4 - Erkenntniszugang, rechtliche Herleitung und bestimmte Aufklärungsbegehren</w:t>
      </w:r>
    </w:p>
    <w:p>
      <w:pPr>
        <w:spacing w:after="40" w:line="245" w:lineRule="auto"/>
      </w:pPr>
      <w:r>
        <w:rPr>
          <w:sz w:val="21"/>
        </w:rPr>
        <w:t>4.1 Erkenntnis geht Beweiswürdigung voraus</w:t>
      </w:r>
    </w:p>
    <w:p>
      <w:pPr>
        <w:spacing w:after="40" w:line="245" w:lineRule="auto"/>
      </w:pPr>
      <w:r>
        <w:rPr>
          <w:sz w:val="21"/>
        </w:rPr>
        <w:t>4.2 Der materielle Maßstab bestimmt die benötigte Erkenntnis</w:t>
      </w:r>
    </w:p>
    <w:p>
      <w:pPr>
        <w:spacing w:after="40" w:line="245" w:lineRule="auto"/>
      </w:pPr>
      <w:r>
        <w:rPr>
          <w:sz w:val="21"/>
        </w:rPr>
        <w:t>4.3 Drei getrennte Stufen der gerichtlichen Prüfung</w:t>
      </w:r>
    </w:p>
    <w:p>
      <w:pPr>
        <w:spacing w:after="40" w:line="245" w:lineRule="auto"/>
      </w:pPr>
      <w:r>
        <w:rPr>
          <w:sz w:val="21"/>
        </w:rPr>
        <w:t>4.4 Amtsermittlung, Beteiligtenmitwirkung und Hinweise</w:t>
      </w:r>
    </w:p>
    <w:p>
      <w:pPr>
        <w:spacing w:after="40" w:line="245" w:lineRule="auto"/>
      </w:pPr>
      <w:r>
        <w:rPr>
          <w:sz w:val="21"/>
        </w:rPr>
        <w:t>4.5 Effektiver Rechtsschutz und wirtschaftliche Erkenntnishürden</w:t>
      </w:r>
    </w:p>
    <w:p>
      <w:pPr>
        <w:spacing w:after="40" w:line="245" w:lineRule="auto"/>
      </w:pPr>
      <w:r>
        <w:rPr>
          <w:sz w:val="21"/>
        </w:rPr>
        <w:t>4.6 Sekundäre Darlegungslast ohne falschen Automatismus</w:t>
      </w:r>
    </w:p>
    <w:p>
      <w:pPr>
        <w:spacing w:after="40" w:line="245" w:lineRule="auto"/>
      </w:pPr>
      <w:r>
        <w:rPr>
          <w:sz w:val="21"/>
        </w:rPr>
        <w:t>4.7 Abgrenzung des im Kurzgutachten genannten BGH-Verfahrens</w:t>
      </w:r>
    </w:p>
    <w:p>
      <w:pPr>
        <w:spacing w:after="40" w:line="245" w:lineRule="auto"/>
      </w:pPr>
      <w:r>
        <w:rPr>
          <w:sz w:val="21"/>
        </w:rPr>
        <w:t>4.8 Rohdatenanalogien und die Grenze zur Neuerzeugung</w:t>
      </w:r>
    </w:p>
    <w:p>
      <w:pPr>
        <w:spacing w:after="40" w:line="245" w:lineRule="auto"/>
      </w:pPr>
      <w:r>
        <w:rPr>
          <w:sz w:val="21"/>
        </w:rPr>
        <w:t>4.9 Öffentliche Mediathek und wissenschaftlicher Archivzugang</w:t>
      </w:r>
    </w:p>
    <w:p>
      <w:pPr>
        <w:spacing w:after="40" w:line="245" w:lineRule="auto"/>
      </w:pPr>
      <w:r>
        <w:rPr>
          <w:sz w:val="21"/>
        </w:rPr>
        <w:t>4.10 Datenarten und aus dem Material abgeleitete Erkenntniszwecke</w:t>
      </w:r>
    </w:p>
    <w:p>
      <w:pPr>
        <w:spacing w:after="40" w:line="245" w:lineRule="auto"/>
      </w:pPr>
      <w:r>
        <w:rPr>
          <w:sz w:val="21"/>
        </w:rPr>
        <w:t>4.11 Konkreter Beweisanstoß B1: technische Integrität und Zähllogik</w:t>
      </w:r>
    </w:p>
    <w:p>
      <w:pPr>
        <w:spacing w:after="40" w:line="245" w:lineRule="auto"/>
      </w:pPr>
      <w:r>
        <w:rPr>
          <w:sz w:val="21"/>
        </w:rPr>
        <w:t>4.12 Konkreter Beweisanstoß B2: ZDF-Fallgruppe heute journal</w:t>
      </w:r>
    </w:p>
    <w:p>
      <w:pPr>
        <w:spacing w:after="40" w:line="245" w:lineRule="auto"/>
      </w:pPr>
      <w:r>
        <w:rPr>
          <w:sz w:val="21"/>
        </w:rPr>
        <w:t>4.13 Konkreter Beweisanstoß B3: bekannte Verfahrensunterlagen zu F02 und F03</w:t>
      </w:r>
    </w:p>
    <w:p>
      <w:pPr>
        <w:spacing w:after="40" w:line="245" w:lineRule="auto"/>
      </w:pPr>
      <w:r>
        <w:rPr>
          <w:sz w:val="21"/>
        </w:rPr>
        <w:t>4.14 Konkreter Beweisanstoß B4: fachliche Tragfähigkeit bestimmter Studienergebnisse</w:t>
      </w:r>
    </w:p>
    <w:p>
      <w:pPr>
        <w:spacing w:after="40" w:line="245" w:lineRule="auto"/>
      </w:pPr>
      <w:r>
        <w:rPr>
          <w:sz w:val="21"/>
        </w:rPr>
        <w:t>4.15 Beweisantrag, Beweisanregung und Ausforschung</w:t>
      </w:r>
    </w:p>
    <w:p>
      <w:pPr>
        <w:spacing w:after="40" w:line="245" w:lineRule="auto"/>
      </w:pPr>
      <w:r>
        <w:rPr>
          <w:sz w:val="21"/>
        </w:rPr>
        <w:t>4.16 Schutzbelange und verhältnismäßige Zugangsformen</w:t>
      </w:r>
    </w:p>
    <w:p>
      <w:pPr>
        <w:spacing w:after="40" w:line="245" w:lineRule="auto"/>
      </w:pPr>
      <w:r>
        <w:rPr>
          <w:sz w:val="21"/>
        </w:rPr>
        <w:t>4.17 Quellenregister, Archiv und tatsächliche Akteneinführung</w:t>
      </w:r>
    </w:p>
    <w:p>
      <w:pPr>
        <w:spacing w:after="40" w:line="245" w:lineRule="auto"/>
      </w:pPr>
      <w:r>
        <w:rPr>
          <w:sz w:val="21"/>
        </w:rPr>
        <w:t>4.18 Umgang mit früheren Ablehnungen und gerichtlichen Textbausteinen</w:t>
      </w:r>
    </w:p>
    <w:p>
      <w:pPr>
        <w:spacing w:after="40" w:line="245" w:lineRule="auto"/>
      </w:pPr>
      <w:r>
        <w:rPr>
          <w:sz w:val="21"/>
        </w:rPr>
        <w:t>4.19 Kosten, Fristen und Begrenzung der Sachanträge</w:t>
      </w:r>
    </w:p>
    <w:p>
      <w:pPr>
        <w:spacing w:after="40" w:line="245" w:lineRule="auto"/>
      </w:pPr>
      <w:r>
        <w:rPr>
          <w:sz w:val="21"/>
        </w:rPr>
        <w:t>4.20 Abschließende Verbindung von Tatsachenvortrag und Rechtsfolge</w:t>
      </w:r>
    </w:p>
    <w:p>
      <w:pPr>
        <w:keepNext w:val="0"/>
        <w:spacing w:before="100" w:after="0" w:line="240" w:lineRule="auto"/>
      </w:pPr>
      <w:r>
        <w:rPr>
          <w:sz w:val="20"/>
        </w:rPr>
        <w:t>Anschließend: gesondertes Antrags- und Unterschriftsblatt; Nachweisregister. Individuelle Belege K01 ff. und tatsächlich ausgewählte Quellenanlagen nach Anlagenliste.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76" w:right="1474" w:bottom="1162" w:left="1474" w:header="595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/>
    <w:fldSimple w:instr="PAGE">
      <w:r>
        <w:t>1</w:t>
      </w:r>
    </w:fldSimple>
    <w:r>
      <w:rPr>
        <w:sz w:val="18"/>
      </w:rPr>
      <w:t xml:space="preserve"> von </w:t>
    </w:r>
    <w:r/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40"/>
      <w:pBdr>
        <w:bottom w:val="single" w:sz="4" w:color="CCD4DC"/>
      </w:pBdr>
    </w:pPr>
    <w:r>
      <w:rPr>
        <w:color w:val="536374"/>
        <w:sz w:val="17"/>
      </w:rPr>
      <w:t>Inhaltsverzeichnis | F | V5 | 04.10.2026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3" w:lineRule="auto" w:after="140"/>
    </w:pPr>
    <w:rPr>
      <w:rFonts w:ascii="Liberation Serif" w:hAnsi="Liberation Serif"/>
      <w:sz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20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172F45"/>
      <w:sz w:val="34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172F45"/>
      <w:sz w:val="26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172F45"/>
      <w:sz w:val="24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Liberation Serif" w:hAnsi="Liberation Serif"/>
      <w:b/>
      <w:color w:val="172F45"/>
      <w:spacing w:val="5"/>
      <w:kern w:val="28"/>
      <w:sz w:val="4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80"/>
    </w:pPr>
    <w:rPr>
      <w:rFonts w:asciiTheme="majorHAnsi" w:eastAsiaTheme="majorEastAsia" w:hAnsiTheme="majorHAnsi" w:cstheme="majorBidi" w:ascii="Liberation Serif" w:hAnsi="Liberation Serif"/>
      <w:b w:val="0"/>
      <w:i/>
      <w:iCs/>
      <w:color w:val="172F45"/>
      <w:spacing w:val="15"/>
      <w:sz w:val="26"/>
      <w:szCs w:val="24"/>
      <w:lang w:val="de-D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 | F</dc:title>
  <dc:subject>Modulare Klage- und Arbeitsfassung V5</dc:subject>
  <dc:creator/>
  <cp:keywords>Beitragsstopper; Projekt 51; V5; 2026-10-04</cp:keywords>
  <dc:description>Ausgearbeitete allgemeine Vorlage. Keine eingereichte oder unterschriebene Klage; individuelle Fallangaben sind einzusetzen.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