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Anträge und Unterschrift</w:t>
      </w:r>
    </w:p>
    <w:p>
      <w:r>
        <w:t>Verwaltungsgericht: [Gericht]</w:t>
        <w:br/>
        <w:t>Aktenzeichen: [soweit vorhanden]</w:t>
        <w:br/>
        <w:t>Klägerseite: [Name]</w:t>
        <w:br/>
        <w:t>Beklagte: [Rundfunkanstalt]</w:t>
      </w:r>
    </w:p>
    <w:p>
      <w:pPr>
        <w:pStyle w:val="Heading2"/>
      </w:pPr>
      <w:r>
        <w:t>Abschließende Sachanträge</w:t>
      </w:r>
    </w:p>
    <w:p>
      <w:r>
        <w:t>1. Es wird festgestellt, dass die Beklagte im gegenwärtigen Beitragsrechtsverhältnis der Beteiligten, bezogen auf die in K13 bezeichnete aktuelle Auseinandersetzung und das Untersuchungsfenster [Beginn/Ende], nicht berechtigt ist, den dort bezeichneten Programmeinwand allein wegen des Fehlens der in K13 konkret vorausgesetzten wissenschaftlichen Auswertung zurückzuweisen, soweit gerade diese Auswertung den Zugang zu den in K14 abschließend bezeichneten, vorhandenen Beständen erfordert, die Beklagte die dort bezeichnete zumutbare Zugangsform mit den Schreiben K09/K10 verweigert hat und eine gleichwertige zumutbare Erkenntnismöglichkeit nach den dokumentierten Umständen nicht besteht.</w:t>
      </w:r>
    </w:p>
    <w:p>
      <w:r>
        <w:t>2. Die Beklagte trägt die Kosten des Verfahrens.</w:t>
      </w:r>
    </w:p>
    <w:p>
      <w:r>
        <w:t>Der erste Antrag ist eine zur rechtlichen Prüfung gestellte, begrenzte Feststellungskonstruktion. Die Individualanlagen K13/K14 müssen konkrete aktuelle Rechtswirkungen und eindeutig bestimmte Bestände ausweisen. Er zielt nicht auf die verbindliche Festlegung der Beweiswürdigung eines anderen Gerichts, nicht auf die Wiederholung der alten Bescheidanfechtung und nicht auf die Feststellung einer allgemeinen Programmverfassungswidrigkeit. Das Risiko einer Einordnung als unselbständige Vorfrage wird in Abschnitt 1 behandelt.</w:t>
      </w:r>
    </w:p>
    <w:p>
      <w:pPr>
        <w:pStyle w:val="Heading2"/>
      </w:pPr>
      <w:r>
        <w:t>Prozessuale Behandlung und Anlagen</w:t>
      </w:r>
    </w:p>
    <w:p>
      <w:r>
        <w:t>Es wird um sachbezogene Erörterung der in den Abschnitten 1 bis 4 bezeichneten Tatsachen und rechtlichen Folgerungen gebeten. Die dortigen Beweisangebote und Anregungen sind von einem gegebenenfalls in der mündlichen Verhandlung unbedingt gestellten Beweisantrag zu unterscheiden. Eine allgemeine Kostenfreiheit oder automatische Aussetzung wird nicht geltend gemacht.</w:t>
      </w:r>
    </w:p>
    <w:p>
      <w:r>
        <w:t>Die tatsächlich eingereichten individuellen Unterlagen lauten: [K-Nummern mit Titel und Datum]. Die zusätzlich eingereichten gemeinsamen Quellen beziehungsweise Auszüge lauten: [B-/D-/S-/E-Kennungen, Fassung, Umfang]. Nur diese Anlagenliste bestätigt die konkrete Einreichung; ein Eintrag im allgemeinen Quellenregister tut dies nicht.</w:t>
      </w:r>
    </w:p>
    <w:p>
      <w:r>
        <w:t>[Ort], [Datum]</w:t>
        <w:br/>
        <w:br/>
        <w:t>________________________________</w:t>
        <w:br/>
        <w:t>[Eigenhändige Unterschrift / zulässige elektronische Einreichung]</w:t>
        <w:br/>
        <w:t>[Name]</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Anträge und Unterschrift | F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Anträge und Unterschrift | F</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