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Abschnitt 1</w:t>
      </w:r>
    </w:p>
    <w:p>
      <w:pPr>
        <w:pStyle w:val="Title"/>
      </w:pPr>
      <w:r>
        <w:t>Individueller Bescheidstreit, Tatsachenkern und rechtlicher Prüfungsmaßstab</w:t>
      </w:r>
    </w:p>
    <w:p>
      <w:pPr>
        <w:pStyle w:val="Heading2"/>
      </w:pPr>
      <w:r>
        <w:t>1.1 Gegenstand des Begehrens und Reichweite dieses Schriftsatzes</w:t>
      </w:r>
    </w:p>
    <w:p>
      <w:r>
        <w:t>Die Klägerseite begehrt die Aufhebung der im gesonderten Antragsblatt einzeln bezeichneten Rundfunkbeitragsbescheide in Gestalt des zugehörigen Widerspruchsbescheids. Sie macht geltend, dass die verfassungsrechtliche Rechtfertigung der gesetzlichen Beitragspflicht am tatsächlichen, funktionsgebundenen Programmvorteil zu messen ist. Hierzu wird ein gegliederter Tatsachen- und Rechtsvortrag vorgelegt. Die rechtliche Begründung stützt sich auf BVerwG, Urteil vom 15. Oktober 2025 - 6 C 5.24; die tatsächliche Begründung unterscheidet eigene technische Nachrechnungen, von Dritten berichtete Untersuchungsergebnisse, veröffentlichte Kontrollentscheidungen und noch nicht abschließend beantwortete Fragen. [R01, Rn. 17, 34-50]</w:t>
      </w:r>
    </w:p>
    <w:p>
      <w:r>
        <w:t>Diese Unterscheidung begrenzt nicht das Rechtsschutzziel, sondern macht es prüfbar. Die Klägerseite verlangt weder ein redaktionelles Wunschprogramm noch eine anteilige Erstattung für einzelne beanstandete Sendeminuten. Sie stellt auch nicht neben jeden Begründungskomplex einen zusätzlichen Feststellungsantrag. Der programmbezogene Vortrag dient dem bezeichneten Aufhebungsbegehren und, soweit entscheidungserheblich, der Vorbereitung einer konkreten Normenkontrolle. Ausführungen zur Sachaufklärung sind keine gesonderten Leistungsklagen auf Herausgabe aller Rundfunkdaten. [R01, Rn. 19-33, 47; R02, §§ 42, 88, 113 VwGO]</w:t>
      </w:r>
    </w:p>
    <w:p>
      <w:r>
        <w:t>Die vier Abschnitte bilden eine zusammenhängende Begründung. Abschnitt 1 ordnet die persönliche Belastung und den materiellen Maßstab. Abschnitt 2 enthält die programmbezogenen Untersuchungsdossiers. Abschnitt 3 legt den nachgerechneten Beschwerdebestand und konkrete, damit in Beziehung gesetzte Kontrollvorgänge dar. Abschnitt 4 entwickelt aus diesen Befunden bestimmte Erkenntnisfragen und Aufklärungsbegehren. Die drei Ausgangsgutachten werden inhaltlich verarbeitet, nicht als drei zusätzliche Volltextbände vorausgesetzt. Ihre unveränderten Originale bleiben als Herkunftsnachweise identifizierbar. [S01-S05; Nachweisregister B01]</w:t>
      </w:r>
    </w:p>
    <w:p>
      <w:pPr>
        <w:pStyle w:val="Heading2"/>
      </w:pPr>
      <w:r>
        <w:t>1.2 Individualdaten: ein zentraler Fallbogen statt offener Begründungsbausteine</w:t>
      </w:r>
    </w:p>
    <w:p>
      <w:r>
        <w:t>Die ausschließlich aus der persönlichen Akte feststellbaren Angaben werden im folgenden Fallbogen dokumentiert. Auf diese Feststellungen beziehen sich die anschließenden Ausführungen. Die Unterlagen K01 bis K08 sind individuelle Belege und nicht mit den gemeinsamen wissenschaftlichen und technischen Nachweisen zu verwechseln. Bei mehreren Bescheiden wird K01 als abschließende Bescheidliste geführt. Gegenstand und Zeitraum ergeben sich nicht aus einer allgemeinen Projektzugehörigkeit, sondern aus diesen Dokumenten. [R02, §§ 82, 88 VwGO]</w:t>
      </w:r>
    </w:p>
    <w:tbl>
      <w:tblPr>
        <w:tblW w:type="auto" w:w="0"/>
        <w:jc w:val="center"/>
        <w:tblLayout w:type="fixed"/>
        <w:tblLook w:firstColumn="1" w:firstRow="1" w:lastColumn="0" w:lastRow="0" w:noHBand="0" w:noVBand="1" w:val="04A0"/>
      </w:tblPr>
      <w:tblGrid>
        <w:gridCol w:w="907"/>
        <w:gridCol w:w="4535"/>
        <w:gridCol w:w="3515"/>
      </w:tblGrid>
      <w:tr>
        <w:trPr>
          <w:tblHeader/>
          <w:cantSplit/>
        </w:trPr>
        <w:tc>
          <w:tcPr>
            <w:tcW w:type="dxa" w:w="90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Beleg</w:t>
            </w:r>
          </w:p>
        </w:tc>
        <w:tc>
          <w:tcPr>
            <w:tcW w:type="dxa" w:w="453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Persönliche Angabe</w:t>
            </w:r>
          </w:p>
        </w:tc>
        <w:tc>
          <w:tcPr>
            <w:tcW w:type="dxa" w:w="351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Eintrag</w:t>
            </w:r>
          </w:p>
        </w:tc>
      </w:tr>
      <w:tr>
        <w:trPr>
          <w:cantSplit/>
        </w:trPr>
        <w:tc>
          <w:tcPr>
            <w:tcW w:type="dxa" w:w="90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K01</w:t>
            </w:r>
          </w:p>
        </w:tc>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Angegriffene Bescheide: Datum, festgesetzter Betrag, Zuschläge, jeweils abgerechnete Periode.</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[Nach Originalbescheiden einsetzen]</w:t>
            </w:r>
          </w:p>
        </w:tc>
      </w:tr>
      <w:tr>
        <w:trPr>
          <w:cantSplit/>
        </w:trPr>
        <w:tc>
          <w:tcPr>
            <w:tcW w:type="dxa" w:w="90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K02</w:t>
            </w:r>
          </w:p>
        </w:tc>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Widerspruch: Datum, Inhalt, nachgewiesener Eingang.</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[Nach Originalbeleg einsetzen]</w:t>
            </w:r>
          </w:p>
        </w:tc>
      </w:tr>
      <w:tr>
        <w:trPr>
          <w:cantSplit/>
        </w:trPr>
        <w:tc>
          <w:tcPr>
            <w:tcW w:type="dxa" w:w="90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K03</w:t>
            </w:r>
          </w:p>
        </w:tc>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Widerspruchsbescheid und Zustellung mit Rechtsbehelfsbelehrung.</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[Datum und Zustellnachweis]</w:t>
            </w:r>
          </w:p>
        </w:tc>
      </w:tr>
      <w:tr>
        <w:trPr>
          <w:cantSplit/>
        </w:trPr>
        <w:tc>
          <w:tcPr>
            <w:tcW w:type="dxa" w:w="90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K04</w:t>
            </w:r>
          </w:p>
        </w:tc>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Klageeingang beziehungsweise bestehendes Aktenzeichen.</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[Gericht, Aktenzeichen, Eingang]</w:t>
            </w:r>
          </w:p>
        </w:tc>
      </w:tr>
      <w:tr>
        <w:trPr>
          <w:cantSplit/>
        </w:trPr>
        <w:tc>
          <w:tcPr>
            <w:tcW w:type="dxa" w:w="90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K05</w:t>
            </w:r>
          </w:p>
        </w:tc>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Maßgebliches mindestens zweijähriges Programmfenster; Landes- und Normfassung.</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 K01 ableiten; Endpunkt nicht Bescheiddatum]</w:t>
            </w:r>
          </w:p>
        </w:tc>
      </w:tr>
      <w:tr>
        <w:trPr>
          <w:cantSplit/>
        </w:trPr>
        <w:tc>
          <w:tcPr>
            <w:tcW w:type="dxa" w:w="90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K06</w:t>
            </w:r>
          </w:p>
        </w:tc>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Bisheriger gerichtlicher Hinweis oder Abweisungsgrund in diesem Verfahren.</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[Wortlaut, Seite, Datum; andernfalls: keiner]</w:t>
            </w:r>
          </w:p>
        </w:tc>
      </w:tr>
      <w:tr>
        <w:trPr>
          <w:cantSplit/>
        </w:trPr>
        <w:tc>
          <w:tcPr>
            <w:tcW w:type="dxa" w:w="90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K07</w:t>
            </w:r>
          </w:p>
        </w:tc>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Eigene konkrete Anfragen und Antworten zu benötigten Daten.</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[Originalschreiben; andernfalls: keine]</w:t>
            </w:r>
          </w:p>
        </w:tc>
      </w:tr>
      <w:tr>
        <w:trPr>
          <w:cantSplit/>
        </w:trPr>
        <w:tc>
          <w:tcPr>
            <w:tcW w:type="dxa" w:w="90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K08</w:t>
            </w:r>
          </w:p>
        </w:tc>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Eigene Beitragssituation; bisherige Sachanträge; beauftragte Vertretung.</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[Aktengetreu einsetzen]</w:t>
            </w:r>
          </w:p>
        </w:tc>
      </w:tr>
    </w:tbl>
    <w:p>
      <w:pPr>
        <w:spacing w:after="0"/>
      </w:pPr>
    </w:p>
    <w:p>
      <w:r>
        <w:t>Die Klägerseite übernimmt die allgemeinen Quellenbefunde in dem nachfolgend ausdrücklich bezeichneten Umfang. Sie behauptet nicht, die fremden Untersuchungen selbst durchgeführt zu haben. Ebenso wird ein in einer anderen Sache festgestellter Zugang einer Beschwerde nicht als eigener Zugang ausgegeben. Die personenbezogenen Einzelangaben sind nach den Originalakten einzusetzen; fehlende Angaben werden nicht durch Vermutungen ersetzt. Die allgemeine Tatsachenargumentation in den Abschnitten 2 und 3 ist dagegen ausgeführt und muss nicht erst von der einzelnen klagenden Person neu recherchiert werden.</w:t>
      </w:r>
    </w:p>
    <w:p>
      <w:pPr>
        <w:pStyle w:val="Heading2"/>
      </w:pPr>
      <w:r>
        <w:t>1.3 Verfahrensart, Beteiligte und fristwahrende Erhebung</w:t>
      </w:r>
    </w:p>
    <w:p>
      <w:r>
        <w:t>Das Rechtsschutzziel entspricht der Anfechtungsklage nach § 42 Abs. 1 Alternative 1 VwGO. Die subjektive Betroffenheit folgt aus der an die Klägerseite gerichteten Festsetzung. Ob Widerspruch und Klage rechtzeitig erhoben wurden, richtet sich nach den tatsächlichen Zustellungs- und Eingangsbelegen in K02 bis K04 und dem im betreffenden Land geltenden Vorverfahren. Ein pauschaler Satz, die Klage sei form- und fristgerecht, ersetzt diese Prüfung nicht. Die materiellen Ausführungen begründen keine Wiedereinsetzung und verlängern keine laufende Frist. [R02, §§ 58, 60, 68, 74, 81, 82 VwGO]</w:t>
      </w:r>
    </w:p>
    <w:p>
      <w:r>
        <w:t>Beklagter ist der für die angegriffenen Bescheide maßgebliche rechtsfähige Rechtsträger, regelmäßig die betreffende Landesrundfunkanstalt. Die organisatorische Mitwirkung des Beitragsservice macht diesen nicht automatisch zu einem weiteren Beklagten. Die örtliche Zuständigkeit ist anhand des konkreten Bescheiderlasses und der einschlägigen Fallgruppe des § 52 VwGO zu bestimmen. Die Klägerseite leitet aus der Nutzung gemeinsamer Schriftsatztexte keine besondere Zuständigkeit ab. [R01, Rn. 1; R02, §§ 52, 78 VwGO]</w:t>
      </w:r>
    </w:p>
    <w:p>
      <w:r>
        <w:t>Wird diese Fassung in einem bereits anhängigen Verfahren nachgereicht, dient sie der Ergänzung und Neuordnung des Vortrags. Bereits rechtshängige Anträge werden nicht stillschweigend zurückgenommen. Für die Auslegung sind die tatsächlich eingereichten Erklärungen und das erkennbare Rechtsschutzziel maßgeblich. Eine notwendige ausdrückliche Antragsbereinigung ist gesondert zu erklären und hinsichtlich ihrer Kostenfolgen zu prüfen. Die Neufassung beansprucht keine rückwirkende Heilung einer bereits eingetretenen Unzulässigkeit. [R02, §§ 88, 92, 155 VwGO]</w:t>
      </w:r>
    </w:p>
    <w:p>
      <w:pPr>
        <w:pStyle w:val="Heading2"/>
      </w:pPr>
      <w:r>
        <w:t>1.4 Die entscheidungserheblichen Tatsachen sind bereits benannt</w:t>
      </w:r>
    </w:p>
    <w:p>
      <w:r>
        <w:t>Der gemeinsame Tatsachenkern besteht aus vier unterscheidbaren Komplexen. Erstens liegt eine von Prof. Dr. Werner Müller erstellte Dokumentation der 20-Uhr-Tagesschau für Januar bis August 2020 vor. Sie enthält einen abgegrenzten Korpus, Themenlisten und quantitative sowie qualitative Aussagen. Zweitens beschreibt das Glashaus-Whitepaper einen langjährigen Korpus von Kommentarsegmenten der Tagesthemen. Drittens dokumentiert der technische O-Ton-Bericht Erkennungsresultate in vier Nachrichtenformaten sowie unterschiedliche Reichweiten des verwendeten Archivzugangs. Viertens liegt ein identifizierter Rundfunkalarm-Export vor, dessen technische Hauptzahlen und ausgewählte sendungsbezogene Gruppen für diese Neufassung erneut berechnet wurden. [S06, PDF-S. 4-9 und 27 ff.; S07, S. 1-2, 6-15; S08, S. 3-10; D01-D03]</w:t>
      </w:r>
    </w:p>
    <w:p>
      <w:r>
        <w:t>Diese Komplexe sind nicht vier voneinander unabhängige Vollbeweise desselben Sachverhalts. Sie beantworten unterschiedliche Fragen: Auswahl und Darstellung innerhalb eines historischen Ausschnitts, langfristige Auswahl von Kommentaren, Sichtbarkeit erkannter O-Töne sowie dokumentierte Reaktionen auf beanstandete Inhalte. Ihre Verbindung wird in Abschnitt 2.18 und Abschnitt 3.18 begründet. Ein Schluss auf die gesamte beitragsfinanzierte Angebot setzt zusätzlich voraus, dass Zeit, Medien, Formate und mögliche Ausgleichsangebote sachgerecht zugeordnet werden. Die Klägerseite legt diese Abgrenzung offen, statt aus der Zahl vorgelegter Seiten einen Beweiswert abzuleiten. [R01, Rn. 39-50]</w:t>
      </w:r>
    </w:p>
    <w:p>
      <w:r>
        <w:t>Ein besonders konkretisierter Vorgang betrifft das ZDF-heute-journal vom 15. Februar 2026. Im Export lassen sich zehn auf diese Ausgabe bezogene Vorgänge, 723 gespeicherte Teilungen und 28 gespeicherte Gremieninformationen identifizieren. Eine öffizielle ZDF-Mitteilung vom 19. Juni 2026 bestätigt einen Verstoß bei der Verwendung von Bildmaterial und beschreibt Korrektur und Abhilfe. Damit sind nicht nur Vorwürfe aus einer Beschwerdeplattform vorhanden; es existiert eine institutionelle Antwort zu demselben Sendungsgegenstand. Die individuelle Zustellung jeder Plattformbeschwerde und ihre ursächliche Bedeutung für die Abhilfe bleiben hiervon getrennt. [D02, Fallgruppe F01; E21, S. 1-2]</w:t>
      </w:r>
    </w:p>
    <w:p>
      <w:pPr>
        <w:pStyle w:val="Heading2"/>
      </w:pPr>
      <w:r>
        <w:t>1.5 Zeitliche Zuordnung ist Teil der Begründung, nicht eine Formalie</w:t>
      </w:r>
    </w:p>
    <w:p>
      <w:r>
        <w:t>Nach BVerwG 6 C 5.24 ist eine mindestens zweijährige Betrachtung sachgerecht, die mit dem im angefochtenen Bescheid abgerechneten Zeitraum endet. Der Tag der Bescheiderstellung ist daher nicht der automatische Endpunkt einer Programmuntersuchung. Bei Beiträgen für Januar bis März 2024 bildet beispielsweise April 2022 bis März 2024 ein genau zweijähriges Fenster. Dieses Beispiel ist keine Tatsachenangabe zum vorliegenden Fall. Das konkrete Fenster ergibt sich aus K01 und dem Fallbogen. [R01, Rn. 21, 41]</w:t>
      </w:r>
    </w:p>
    <w:p>
      <w:r>
        <w:t>Das Urteil schließt vor der verfassungsgerichtlichen Entscheidung vom 18. Juli 2018 liegende Zeiträume aus der hier maßgeblichen Beanstandung aus. Zugleich kann das damals verfügbare Angebot nach Randnummer 48 als Referenz dienen. Deshalb dürfen die Glashaus-Daten ab 2010 weder ungefiltert als Nachweis eines erst später eingetretenen Defizits dienen noch ohne Begründung verworfen werden: Ihr früherer Teil kann eine methodische Vergleichsbasis sein, ihr späterer Teil muss für das konkrete Belastungsfenster gesondert betrachtet werden. Ein Langzeitmittel ersetzt diese Trennung nicht. [R01, Rn. 41, 48; S07, S. 1, 14]</w:t>
      </w:r>
    </w:p>
    <w:p>
      <w:r>
        <w:t>Zu unterscheiden sind Sendezeit, Beschwerdezeit, Untersuchungszeit und Veröffentlichungszeit. Eine 2026 publizierte Untersuchung kann Sendungen aus 2020 beschreiben. Eine 2026 dokumentierte Korrektur betrifft dagegen nicht allein deshalb einen 2024 abgerechneten Programmzustand. Eine nachträgliche Quelle kann Aufschluss über frühere Umstände geben; der Rückschluss ist aber zu begründen. Die in diesem Schriftsatz verwendeten Fallgruppen werden daher zeitlich offen ausgewiesen. Bei einem älteren Beitragsfenster hat ein späterer Fall allenfalls methodische oder institutionelle Vergleichsfunktion, nicht die Funktion eines unmittelbaren Beweises für den früheren Zeitraum. [S06-S08; D02; E21]</w:t>
      </w:r>
    </w:p>
    <w:p>
      <w:pPr>
        <w:pStyle w:val="Heading2"/>
      </w:pPr>
      <w:r>
        <w:t>1.6 Einfachgesetzliche Beitragspflicht und verfassungsrechtlicher Vorteil</w:t>
      </w:r>
    </w:p>
    <w:p>
      <w:r>
        <w:t>Die Klägerseite setzt bei der Unterscheidung an, die das Bundesverwaltungsgericht in den Leitsätzen und in Randnummern 19 bis 35 trifft. § 2 Abs. 1 RBStV begründet eine gesetzliche Abgabe. Er enthält kein vertragliches Austauschverhältnis, bei dem jede mangelhafte Sendung zu Minderung, Rücktritt oder Zurückbehaltung berechtigen würde. Auch die Zweckbestimmung der Finanzierung und die Beschreibung des Funktionsauftrags schaffen nach dieser Entscheidung keinen unmittelbaren einfachgesetzlichen Anspruch des Beitragszahlers auf ein bestimmtes Programm. [R01, Rn. 19-33]</w:t>
      </w:r>
    </w:p>
    <w:p>
      <w:r>
        <w:t>Davon verschieden ist die Frage, ob die gesetzliche Belastung verfassungsrechtlich weiterhin durch einen objektiven Vorteil gerechtfertigt wird. Der Vorteil besteht nach Randnummer 17 nicht bloß darin, dass irgendein Signal empfangbar ist. Er besteht in der Möglichkeit, ein dem klassischen Funktionsauftrag entsprechend ausgestaltetes Angebot zu nutzen. Die Klägerseite leitet ihren Einwand aus dieser verfassungsrechtlichen Begründung der Vorzugslast ab. Gerade weil es um die Rechtfertigung der Norm geht, sind die Qualitätsmängel nicht wie Leistungsstörungen eines privatrechtlichen Vertrags zu behandeln. [R01, Rn. 16-18, 34-35]</w:t>
      </w:r>
    </w:p>
    <w:p>
      <w:r>
        <w:t>Der Unterschied hat Konsequenzen für den Antrag. Die Klägerseite begehrt die Aufhebung der individuellen Bescheide. Sie verlangt nicht, dass das Verwaltungsgericht die gesetzliche Beitragspflicht ohne die erforderliche verfassungsgerichtliche Klärung allgemein außer Kraft setzt. Gelangt das Gericht nach der Sachaufklärung zur Überzeugung, dass die entscheidungserhebliche gesetzliche Grundlage verfassungswidrig ist, ist Art. 100 Abs. 1 GG zu beachten. Die Vorlage ist keine automatisch erfolgreiche Hilfsforderung, sondern eine aus der richterlichen Überzeugung und Entscheidungserheblichkeit folgende Verfahrenspflicht. [R01, Rn. 47-49; R12, Art. 100 GG]</w:t>
      </w:r>
    </w:p>
    <w:p>
      <w:pPr>
        <w:pStyle w:val="Heading2"/>
      </w:pPr>
      <w:r>
        <w:t>1.7 Was sich aus der Entscheidung von 2018 ergibt</w:t>
      </w:r>
    </w:p>
    <w:p>
      <w:r>
        <w:t>Die Verfassungsmäßigkeit der Grundkonstruktion wird durch die Programmrüge nicht von vorn auf neu verhandelt. Das Bundesverwaltungsgericht hebt die Bindung an die Entscheidung des Bundesverfassungsgerichts vom 18. Juli 2018 hervor. Insbesondere werden die Beitragsform, die Anknüpfung an die Wohnung und die Gesetzgebungskompetenz nicht durch jede neue Programmkritik gegenstandslos. Der hiesige Schriftsatz baut daher nicht auf der früher verwendeten Behauptung auf, der Beitrag werde aufgrund geänderter Berichterstattung ohne Weiteres zur Steuer. [R01, Rn. 14-18]</w:t>
      </w:r>
    </w:p>
    <w:p>
      <w:r>
        <w:t>Die Bindungswirkung sperrt nach derselben Entscheidung jedoch nicht die Frage einer qualifizierten späteren Verfehlung des Programmvorteils. Andernfalls wären Randnummern 39 bis 50 ohne Gegenstand. Die Klägerseite beruft sich daher weder auf eine pauschale Entwertung der Entscheidung von 2018 noch auf deren Gegenteil, eine zeitlich unbegrenzte Vermutung eines empirisch unveränderlichen Programms. Behauptet wird eine im maßgeblichen historischen Fenster zu prüfende tatsächliche Entwicklung. Dafür braucht es Befunde, nicht lediglich die Behauptung eines Akzeptanzverlusts. [R01, Rn. 17, 39-41, 46-48]</w:t>
      </w:r>
    </w:p>
    <w:p>
      <w:r>
        <w:t>Auch eine Referenz zum Jahr 2018 muss mit gleicher Messlogik gebildet werden. Wer alte und neue Sendungen mit unterschiedlichen Kategorien, Medienmengen oder Modellen vergleicht, kann einen technischen Methodenwechsel mit einer programmlichen Veränderung verwechseln. Die vorgelegten Studien liefern dafür unterschiedliche Ausgangslagen. Glashaus enthält einen langfristigen Korpus; der O-Ton-Bericht beschreibt dagegen einen wesentlich kürzeren jüngeren Ausschnitt. Die Unterschiede werden nicht durch eine pauschale gemeinsame Kurve verdeckt. [S07, S. 1, 6-15; S08, S. 3-5; eigene methodische Folgerung]</w:t>
      </w:r>
    </w:p>
    <w:p>
      <w:pPr>
        <w:pStyle w:val="Heading2"/>
      </w:pPr>
      <w:r>
        <w:t>1.8 Hohe materielle Schwelle und konkrete Eingangssubstantiierung</w:t>
      </w:r>
    </w:p>
    <w:p>
      <w:r>
        <w:t>Die materielle Schwelle ist hoch. Nach dem Bundesverwaltungsgericht müssen evidente und regelmäßige Defizite des Gesamtangebots über einen längeren Zeitraum erkennbar sein. Daraus leitet Randnummer 48 gesteigerte Anforderungen an den Vortrag ab, der die gerichtliche Aufklärung auslöst. Die Klägerseite verkennt dies nicht. Sie unterscheidet aber die hinreichenden Anhaltspunkte für eine Untersuchung von der abschließenden richterlichen Überzeugung über die Verfassungswidrigkeit. Eine Anforderung, das gerichtliche Beweisergebnis vor jeder gerichtlichen Mitwirkung privat vollständig vorwegzunehmen, folgt nicht aus dem Wortlaut dieser Differenzierung. [R01, Rn. 39, 47-50]</w:t>
      </w:r>
    </w:p>
    <w:p>
      <w:r>
        <w:t>Der hiesige Vortrag konkretisiert die Anhaltspunkte in drei Schritten. Die Originaluntersuchungen werden nach Korpus, Messung und konkretem Ergebnis aufgearbeitet. Der Rohdatenexport wird mit nachvollziehbaren Rechenschritten ausgewertet. An bestimmten Sendungen werden Plattformvorgänge mit öffentlich dokumentierten institutionellen Reaktionen in Beziehung gesetzt. Dadurch wird der Untersuchungsbedarf auf bestimmte Daten und Fragen begrenzt. Es wird nicht lediglich verlangt, das Gericht solle irgendwo im Gesamtprogramm einen Fehler finden. [Abschnitte 2 und 3; D01-D03; E20-E21]</w:t>
      </w:r>
    </w:p>
    <w:p>
      <w:r>
        <w:t>Dass damit bereits in jedem Fall die Schwelle nach Randnummer 48 erreicht ist, wird nicht als feststehende Tatsache behauptet. Die Reichweite der Quellen und ihr Bezug zum individuellen Zeitraum bleiben entscheidend. Die Klägerseite verlangt eine konkrete Würdigung dieses Vortrags und eine nachvollziehbare Begründung, welche der bezeichneten Lücken ohne weitere Aufklärung zur Ablehnung führen soll. So bleibt die gerichtliche Kontrolle anspruchsvoll, ohne dass tatsächlicher Erkenntniszugang und materieller Endbeweis begrifflich zusammenfallen. [R02, §§ 86, 108 VwGO]</w:t>
      </w:r>
    </w:p>
    <w:p>
      <w:pPr>
        <w:pStyle w:val="Heading2"/>
      </w:pPr>
      <w:r>
        <w:t>1.9 Gesamtangebot: nicht nur Nachrichten, nicht beliebig addierbare Minuten</w:t>
      </w:r>
    </w:p>
    <w:p>
      <w:r>
        <w:t>Der maßgebliche Gegenstand umfasst Hörfunk, Fernsehen und Telemedien aller beitragsfinanzierten öffentlich-rechtlichen Veranstalter. Er reicht über Nachrichten und politische Gesprächssendungen hinaus. Die Klägerseite nimmt deshalb nicht an, ein Befund aus einem Hauptnachrichtenformat repräsentiere automatisch Kultur-, Bildungs-, Beratungs- und Unterhaltungsangebote oder alle regionalen Programme. Eine solche Gleichsetzung würde die in Randnummer 40 bezeichnete Reichweite verfehlen. [R01, Rn. 39-45]</w:t>
      </w:r>
    </w:p>
    <w:p>
      <w:r>
        <w:t>Das bedeutet zugleich nicht, dass gegenständliche Breite und meinungsbezogene Vielfalt beliebig miteinander verrechnet werden können. Ein umfangreiches Kulturangebot beantwortet nicht ohne weitere Begründung die Frage, ob gesellschaftlich erhebliche Gegenpositionen in einem bestimmten Informationsbereich über längere Zeit systematisch ausgeschlossen wurden. Umgekehrt darf die Klägerseite nicht alle außerhalb politischer Nachrichtensendungen vermittelten Perspektiven als bedeutungslos behandeln. Die notwendige Verknüpfung liegt in einer funktions- und inhaltsbezogenen Betrachtung, nicht in einer einzigen pauschalen Fehlerminutenquote. Dies ist eine rechtliche und methodische Argumentation der Klägerseite zum Gesamtmaßstab. [R01, Rn. 36-45; S04, Abschn. B-D]</w:t>
      </w:r>
    </w:p>
    <w:p>
      <w:r>
        <w:t>Als mögliche Ausgleichsangebote kommen andere Formate, Regionen und Ausspielwege in Betracht. Ihre bloße theoretische Empfangbarkeit ist noch keine Untersuchung ihres Inhalts. Ein tragfähiger Kompensationseinwand muss mit dem behaupteten Defizit sachlich zusammenhängen. Deshalb sieht das in Abschnitt 2 entwickelte Modell eine gesonderte Erfassung von Gegenpositionen und Erklärungsalternativen vor. Eine festgestellte Gegenposition ist auch dann zu berücksichtigen, wenn sie der Ausgangshypothese widerspricht. Damit wird die Prüfung auf das Gesamtangebot bezogen, ohne eine Aussage über noch nicht untersuchte Teile zu erfinden.</w:t>
      </w:r>
    </w:p>
    <w:p>
      <w:pPr>
        <w:pStyle w:val="Heading2"/>
      </w:pPr>
      <w:r>
        <w:t>1.10 Programmfreiheit und kontrollierbare Mindestanforderung</w:t>
      </w:r>
    </w:p>
    <w:p>
      <w:r>
        <w:t>Die Programmautonomie schützt die Entscheidung über Inhalte, Formen, Umfang und Gewichtung. Das Gericht soll nicht zum Chefredakteur werden. Die Klägerseite fordert insbesondere keine gleichlange Präsenz jeder Partei und keine gleichermaßen positive Behandlung aller Tatsachenbehauptungen. Das Bundesverwaltungsgericht verneint einen Anspruch auf Gleichgewichtigkeit aller Meinungen ausdrücklich. [R01, Rn. 37, 44-45]</w:t>
      </w:r>
    </w:p>
    <w:p>
      <w:r>
        <w:t>Die Autonomie schließt nach Randnummer 38 die gerichtliche Evidenzbeurteilung aber nicht aus. Das Bundesverwaltungsgericht lehnt gerade einen insoweit abschirmenden Beurteilungsspielraum der Anstalten ab. Die Begründung unterscheidet damit die positive Definition des optimalen Programms von der negativen Feststellung eines groben Unterschreitens der Zielvorstellungen. Die Klägerseite knüpft an diesen Unterschied an: Gegenstand ist keine verbindliche eigene Rundfunkkonzeption, sondern die Prüfung benannter Regelmäßigkeiten, ihrer Dauer, ihrer Bedeutung und des tatsächlichen Ausgleichs. [R01, Rn. 36-40]</w:t>
      </w:r>
    </w:p>
    <w:p>
      <w:r>
        <w:t>Wissenschaftliche Indikatoren haben dabei eine dienende Funktion. Ein Zähler für Akteurspräsenz beschreibt Sichtbarkeit, eine Textklassifikation bestimmte sprachliche Beziehungen, ein Antwortregister die dokumentierte Behandlung einer Beschwerde. Keiner dieser Zähler entscheidet allein über die Verfassungsmäßigkeit. Zusammengenommen können methodisch geeignete und zeitlich verbundene Feststellungen die tatsächliche Grundlage einer gerichtlichen Wertung verbreitern. Die normative Schlussfolgerung bleibt beim Gericht. [S04, Abschn. D und G; R01, Rn. 36, 38, 48]</w:t>
      </w:r>
    </w:p>
    <w:p>
      <w:pPr>
        <w:pStyle w:val="Heading2"/>
      </w:pPr>
      <w:r>
        <w:t>1.11 Warum die Aufsichtsgremien die gerichtliche Prüfung nicht ersetzen</w:t>
      </w:r>
    </w:p>
    <w:p>
      <w:r>
        <w:t>Die Klägerseite bestreitet nicht, dass Programmbeschwerden und Gremienaufsicht eigenständige Kontrollfunktionen haben. Sie bestreitet die Folgerung, ihre Existenz erledige jede gerichtliche Programmrüge im Beitragsverfahren. Randnummer 47 von BVerwG 6 C 5.24 schließt den bloßen Verweis auf diese Instrumente bei substantiiertem Einwand aus. Das ist von der Frage zu unterscheiden, ob eine konkrete Beschwerde begründet war oder ordnungsgemäß bearbeitet wurde. [R01, Rn. 47; S02, Abschn. C-D]</w:t>
      </w:r>
    </w:p>
    <w:p>
      <w:r>
        <w:t>Abschnitt 3 legt daher nicht nur einen institutionellen Verdacht vor. Er unterscheidet die technische Plattformaktivität von Gremienakten und benennt einen öffiziell dokumentierten Abhilfefall. Dieser Befund steht einer pauschalen Null-Wirkungsbehauptung entgegen. Er zeigt zugleich, welche sachlichen Bestandteile einer wirksamen Reaktion identifizierbar sind: Fehlerbenennung, Korrektur, Entscheidung und weitere Maßnahmen. Die Untersuchung anderer konkret benannter Vorgänge wird damit nicht überflüssig; sie erhält einen bestimmteren Gegenstand. [D02, F01; E21; S03, Abschnitt H]</w:t>
      </w:r>
    </w:p>
    <w:p>
      <w:r>
        <w:t>Ob Kontrollmängel einen behaupteten längerfristigen Programmzusammenhang stützen, hängt von ihrer sachlichen Verbindung ab. Ein fehlendes Statistikfeld ist kein eigenständiger Beweis des Wegfalls der Beitragspflicht. Ein wiederholter, bestätigter Darstellungsfehler trotz nachgewiesener Kenntnis und ausbleibender angemessener Reaktion kann dagegen eine andere Aussagekraft besitzen. Der Schriftsatz vermischt diese unterschiedlichen Erkenntnislagen nicht. Er leitet aus jeder nur diejenige weitere Frage ab, die der tatsächliche Befund trägt. [S02, Abschn. A, L; eigene Ableitung]</w:t>
      </w:r>
    </w:p>
    <w:p>
      <w:pPr>
        <w:pStyle w:val="Heading2"/>
      </w:pPr>
      <w:r>
        <w:t>1.12 Die bisherige Abweisungslinie wird sachbezogen beantwortet</w:t>
      </w:r>
    </w:p>
    <w:p>
      <w:r>
        <w:t>Die übermittelten Berichte aus anderen Verfahren nennen als wiederkehrende Einwände fehlenden Gesamtbezug, unpassende Zeiträume, unzureichende methodische Absicherung und pauschale Datenforderungen. Sie werden hier nicht als Beweis einer allgemeinen Voreingenommenheit oder eines bestimmten Motivs von Gerichten verwendet. Für die eigene Sache ist die genaue Entscheidung beziehungsweise der konkrete Hinweis in K05 maßgeblich. [S01, Kap. 24; S09, Abschnitt D; K05]</w:t>
      </w:r>
    </w:p>
    <w:p>
      <w:r>
        <w:t>Die Reaktion besteht nicht lediglich in einer größeren Textmenge. Der Rückgriff auf vorhandene Daten ist nachprüfbar gemacht; der Aussagegehalt der neuen Studien wird ausgewertet; die Beschwerdekennungen werden festen Sendungsgruppen zugeordnet; das Verzeichnis der noch benötigten Informationen bezeichnet den jeweils offenen Erkenntnisschritt. Ein Gericht kann damit unterscheiden, ob es einen methodischen Fehler, eine zeitliche Unzuständigkeit des Materials oder einen fehlenden rechtlichen Zusammenhang beanstandet. Ein pauschales Abtun des gesamten Materials wird dadurch nicht rechtlich unmöglich, aber sachlich begründungsbedürftig. [R02, §§ 86 Abs. 3, 108 Abs. 1 VwGO]</w:t>
      </w:r>
    </w:p>
    <w:p>
      <w:r>
        <w:t>Der in Schmitz' Medienkritik dargestellte OVG-Beschluss 7 A 10424/25.OVG wird mangels gesicherten Originaltextes nicht als bereits vollständig geprüfte Entscheidung verwertet. Insbesondere beweisen 230 Seiten Vortrag weder ausreichende Substantiierung noch deren Unmöglichkeit. Die Fallstudie bleibt auf die dokumentierte Sekundärdarstellung beschränkt. Die Klägerseite stützt die hier konkret bezeichneten Beweisangebote nicht auf eine bloß behauptete Widersprüchlichkeit dieses Beschlusses. [S09, S. 141-152; Abschnitt 4.19]</w:t>
      </w:r>
    </w:p>
    <w:p>
      <w:pPr>
        <w:pStyle w:val="Heading2"/>
      </w:pPr>
      <w:r>
        <w:t>1.13 Wirtschaftliche Zumutbarkeit: der VGH-Einwand in seiner wirklichen Reichweite</w:t>
      </w:r>
    </w:p>
    <w:p>
      <w:r>
        <w:t>Der VGH Baden-Württemberg hat in seinem Urteil vom 14. April 2026 - 2 S 2529/25 - auf S. 30-32 die Erwartung eines vorgelagerten, privat finanzierten wissenschaftlichen Gutachtens problematisiert. Er trennt die rechtliche Wertung, die beim Gericht verbleibt, von der fachlichen Ermittlung ihrer Tatsachengrundlage. Außerdem erörtert er den Gesichtspunkt, dass die Wirksamkeit des Rechtsschutzes nicht von einer unzumutbaren wirtschaftlichen Vorleistung abhängen darf. Die Klägerseite macht sich diese rechtliche Frage zu eigen. [R03, S. 30-32]</w:t>
      </w:r>
    </w:p>
    <w:p>
      <w:r>
        <w:t>Die Entscheidung ist keine erfolgreiche Beitragsverweigerung. Der VGH wies die Berufung zurück und stellte an anderer Stelle erhebliche materielle Grenzen der beantragten Kontrolle dar. Die hiesige Argumentation verwendet deshalb nicht den gesamten Entscheidungsausgang als Unterstützung. Sie isoliert den begründeten Einwand gegen eine unverhältnismäßige Vorleistungshürde und verbindet ihn mit dem in BVerwG 6 C 5.24 anerkannten engen Kontrollweg. Die Auseinandersetzung mit beiden Entscheidungen wird in Abschnitt 4.4 vertieft. [R03, S. 2, 9-32; R01, Rn. 38, 47-50]</w:t>
      </w:r>
    </w:p>
    <w:p>
      <w:r>
        <w:t>Aus einer in einem anderen Verfahren genannten hohen Kostenschätzung folgt keine entsprechende Kostenhöhe im eigenen Verfahren. Maßgeblich sind Umfang, erforderliche Methode, vorhandene Vorarbeiten, Zugangsangebote und tatsächlich eingeholte Auskünfte. Die gemeinsame technische Nachrechnung dieses Schriftsatzes belegt gerade, dass Teilprüfungen mit bereits verfügbarem Material möglich sind. Ob die darüber hinausgehende Aufgabe zumutbar bleibt, ist an den verbleibenden konkreten Arbeitsschritten zu beurteilen, nicht an pauschalen Zahlen über Millionen Sendeminuten.</w:t>
      </w:r>
    </w:p>
    <w:p>
      <w:pPr>
        <w:pStyle w:val="Heading2"/>
      </w:pPr>
      <w:r>
        <w:t>1.14 Die tatsächliche Bedeutung der Erkenntnisasymmetrie</w:t>
      </w:r>
    </w:p>
    <w:p>
      <w:r>
        <w:t>Die Beweisnot wird nicht mehr als vollständige Datenlosigkeit beschrieben. Die vorgelegten Studien und der wiedergefundene CSV-Export widerlegen eine solche Beschreibung. Die Asymmetrie liegt enger: Ein öffentliches Video beantwortet nicht ohne Weiteres, ob der betrachtete Korpus vollständig ist; eine gespeicherte Beschwerde beantwortet nicht, wie ihr Zugang und ihre Behandlung in der Anstalt dokumentiert wurden; ein dokumentierter Fehler beantwortet nicht, ob eine angekündigte Kontrollmaßnahme umgesetzt wurde. [S01, Kap. 8-10; S04, Abschn. E-F; D01; E21]</w:t>
      </w:r>
    </w:p>
    <w:p>
      <w:r>
        <w:t>An diese jeweils bestimmte Information knüpft der Schriftsatz an. Die Quelle, ihr vermuteter Inhaber und der Erkenntniszweck werden einzeln benannt. Die Klägerseite fragt nicht nach beliebigen internen Daten, um erst einen Streit zu erfinden. Sie legt vor, was über den bestimmten Vorgang bekannt ist, und benennt die nach diesem Befund noch offene Tatsache. Das unterscheidet eine begrenzte Anforderung von einer unbegrenzten Suche nach möglichen Rechtsverletzungen. Ob die Unterlage tatsächlich vorzulegen ist, richtet sich nach Entscheidungserheblichkeit, Verfügbarkeit und den gesetzlichen Schutzgründen. [R02, §§ 86, 87, 99 VwGO; R07, Rn. 23-24]</w:t>
      </w:r>
    </w:p>
    <w:p>
      <w:pPr>
        <w:pStyle w:val="Heading2"/>
      </w:pPr>
      <w:r>
        <w:t>1.15 Kosten, Selbstständigkeit der Anträge und Entscheidungsreife</w:t>
      </w:r>
    </w:p>
    <w:p>
      <w:r>
        <w:t>Die Länge der Begründung und die Zahl ihrer Unterabschnitte schaffen für sich keinen zusätzlichen Streitgegenstand. Anders kann es sich bei weiteren selbstständigen Feststellungs- oder Leistungsbegehren verhalten. Die Klägerseite bezeichnet deshalb die Sachanträge abschließend auf dem Unterschriftsblatt. Eine vermeintliche pauschale Begrenzung des Prozessrisikos auf 114 Euro, eine allgemeine Kostenfreiheit nach § 188 VwGO oder ein pauschaler 300-Euro-Streitwert wird nicht behauptet. [R02, §§ 154, 155, 188 VwGO; R13, §§ 39, 45, 52 GKG]</w:t>
      </w:r>
    </w:p>
    <w:p>
      <w:r>
        <w:t>Auch ein als Beweisanregung bezeichneter Vorschlag ist keine Garantie gegen Auslagen einer tatsächlich durchgeführten Beweisaufnahme. Vor absehbar aufwendigen Erhebungen wird um Mitteilung ihres Gegenstands und voraussichtlichen Umfangs gebeten. Diese Bitte bindet das Gericht nicht an eine vorherige Zustimmung der Klägerseite zu jeder Amtsermittlung. Sie dient der sachlichen Erörterung von Erforderlichkeit, geeigneten milderen Mitteln und Kosten. [R02, §§ 86, 98 VwGO; R13]</w:t>
      </w:r>
    </w:p>
    <w:p>
      <w:r>
        <w:t>Offene Auskunftsersuchen oder die Ankundigung weiterer Forschung beseitigen die Entscheidungsreife nicht automatisch. Wird eine Ergänzungsfrist benötigt, muss sie für einen bestimmten Beleg mit dargelegtem Beschaffungsstand beantragt werden. Ein solcher Antrag ersetzt weder laufende Rechtsmittelfristen noch einen gesondert erforderlichen Eilrechtsschutz gegen Vollstreckung. Der vorliegende Schriftsatz entwickelt die programmbezogene Hauptsache; er gibt keinen allgemeinen Zahlungs- oder Vollstreckungsstopp vor. [R02, §§ 80, 87b, 94, 101 VwGO]</w:t>
      </w:r>
    </w:p>
    <w:p>
      <w:pPr>
        <w:pStyle w:val="Heading2"/>
      </w:pPr>
      <w:r>
        <w:t>1.16 Ergebnis und Übergang zur Sachaufklärung</w:t>
      </w:r>
    </w:p>
    <w:p>
      <w:r>
        <w:t>Die Klägerseite stellt mit diesem Schriftsatz einen bestimmbaren Tatsachen- und Rechtskomplex zur Entscheidung. Der rechtliche Weg folgt dem verfassungsrechtlichen Konnex aus BVerwG 6 C 5.24. Der gemeinsame Tatsachenbestand enthält konkrete Untersuchungen, einen erneut berechneten Export und sendungsbezogene Vorgänge mit nachweisbarer institutioneller Antwort. Der Anspruch auf weitere Aufklärung wird nicht aus der bloßen Seitenzahl hergeleitet, sondern aus der im Folgenden ausgeführten Verbindung von Befund, Bedeutung und begrenzter Erkenntnisfrage.</w:t>
      </w:r>
    </w:p>
    <w:p>
      <w:r>
        <w:t>Die Klägerseite beantragt, diese konkreten Zusammenhänge im für ihren Beitragszeitraum maßgeblichen Umfang zu würdigen und die in Abschnitt 4 bezeichneten Aufklärungsmittel nach ihrer Entscheidungserheblichkeit zu prüfen. Für die noch nicht abgesicherten Teile des Gesamtangebots wird keine fertige Tatsachenfeststellung vorgetäuscht. Ebenso wenig wird die pauschale Beschreibung eines Forschungsbedarfs als ausreichend ausgegeben. Die auf vorhandene Belege gestützten positiven Aussagen stehen in den nachfolgenden Abschnitten jeweils vor ihren begründet bezeichneten Grenzen. [R02, §§ 86, 108 VwGO]</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Abschnitt 1 | Beitragsklage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1 | Beitragsklage</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