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Klage gegen Rundfunkbeitragsbescheide</w:t>
      </w:r>
    </w:p>
    <w:p>
      <w:pPr>
        <w:pStyle w:val="Subtitle"/>
      </w:pPr>
      <w:r>
        <w:t>Modularer Schriftsatz mit vier Begründungsabschnitten</w:t>
      </w:r>
    </w:p>
    <w:p>
      <w:r>
        <w:t>An das Verwaltungsgericht [zuständiges Gericht]</w:t>
        <w:br/>
        <w:t>[Gerichtsanschrift]</w:t>
      </w:r>
    </w:p>
    <w:p>
      <w:r>
        <w:t>Klägerseite: [vollständiger Name und ladungsfähige Anschrift]</w:t>
        <w:br/>
        <w:t>Beklagte: [genaue rechtsfähige Rundfunkanstalt und Vertretung]</w:t>
        <w:br/>
        <w:t>Aktenzeichen: [soweit bereits vergeben]</w:t>
      </w:r>
    </w:p>
    <w:p>
      <w:pPr>
        <w:pStyle w:val="Heading2"/>
      </w:pPr>
      <w:r>
        <w:t>Gegenstand</w:t>
      </w:r>
    </w:p>
    <w:p>
      <w:r>
        <w:t>Anfechtung der in K01 einzeln bezeichneten Festsetzungsbescheide in Gestalt des zugehörigen Widerspruchsbescheids. Die Bescheidliste legt den Streitgegenstand abschließend fest. Diese Fassung enthält keinen automatischen zusätzlichen allgemeinen Feststellungsantrag.</w:t>
      </w:r>
    </w:p>
    <w:p>
      <w:pPr>
        <w:pStyle w:val="Heading2"/>
      </w:pPr>
      <w:r>
        <w:t>Bestandteile</w:t>
      </w:r>
    </w:p>
    <w:p>
      <w:r>
        <w:t>Deckblatt; Inhaltsverzeichnis; Abschnitt 1 zur individuellen Streitlage; Abschnitt 2 zu Programmbefunden; Abschnitt 3 zu Beschwerde- und Kontrollvorgängen; Abschnitt 4 zu Erkenntniszugang und Beweisführung; gesondertes Antrags- und Unterschriftsblatt.</w:t>
      </w:r>
    </w:p>
    <w:p>
      <w:r>
        <w:t>Fassungsstand: V5, 04.10.2026. Vor Einreichung sind die persönlichen Felder aus der Originalakte zu füllen, der konkrete Anlagenbestand festzulegen und die zutreffende Klageart sowie Zuständigkeit zu prüfen. Unausgefüllte Varianten sind nicht einzureichen.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474" w:bottom="1162" w:left="1474" w:header="595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/>
    <w:fldSimple w:instr="PAGE">
      <w:r>
        <w:t>1</w:t>
      </w:r>
    </w:fldSimple>
    <w:r>
      <w:rPr>
        <w:sz w:val="18"/>
      </w:rPr>
      <w:t xml:space="preserve"> von </w:t>
    </w:r>
    <w:r/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40"/>
      <w:pBdr>
        <w:bottom w:val="single" w:sz="4" w:color="CCD4DC"/>
      </w:pBdr>
    </w:pPr>
    <w:r>
      <w:rPr>
        <w:color w:val="536374"/>
        <w:sz w:val="17"/>
      </w:rPr>
      <w:t>Beitragsklage | V5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3" w:lineRule="auto" w:after="140"/>
    </w:pPr>
    <w:rPr>
      <w:rFonts w:ascii="Liberation Serif" w:hAnsi="Liberation Serif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3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Liberation Serif" w:hAnsi="Liberation Serif"/>
      <w:b/>
      <w:color w:val="172F45"/>
      <w:spacing w:val="5"/>
      <w:kern w:val="28"/>
      <w:sz w:val="4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erif" w:hAnsi="Liberation Serif"/>
      <w:b w:val="0"/>
      <w:i/>
      <w:iCs/>
      <w:color w:val="172F45"/>
      <w:spacing w:val="15"/>
      <w:sz w:val="26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Beitragsklage</dc:title>
  <dc:subject>Modulare Klage- und Arbeitsfassung V5</dc:subject>
  <dc:creator/>
  <cp:keywords>Beitragsstopper; Projekt 51; V5; 2026-10-04</cp:keywords>
  <dc:description>Ausgearbeitete allgemeine Vorlage. Keine eingereichte oder unterschriebene Klage; individuelle Fallangaben sind einzusetzen.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