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Kritischer Prüfvermerk</w:t>
      </w:r>
    </w:p>
    <w:p>
      <w:pPr>
        <w:pStyle w:val="Subtitle"/>
      </w:pPr>
      <w:r>
        <w:t>Substantiierung der modularen Klagefassung 4</w:t>
      </w:r>
    </w:p>
    <w:p>
      <w:r>
        <w:t>Quellenabgleich und technische Nachprüfung | 04.10.2026</w:t>
      </w:r>
    </w:p>
    <w:p>
      <w:r>
        <w:t>Interne redaktionelle und methodische Prüfung. Kein neuer Klageschriftsatz und keine anwaltliche Freigabe. Die Originalgutachten und die Fassung 4 wurden durch diesen Vermerk nicht geändert.</w:t>
      </w:r>
    </w:p>
    <w:p>
      <w:pPr>
        <w:pStyle w:val="Heading1"/>
      </w:pPr>
      <w:r>
        <w:t>Ergebnis</w:t>
      </w:r>
    </w:p>
    <w:p>
      <w:r>
        <w:t>Fassung 4 ist ein verwendbares Gliederungs- und Arbeitsgerüst. Als alleinstehende, inhaltlich fertig ausgearbeitete Hauptbegründung für eine unveränderte Serieneinreichung reicht sie nach dieser Prüfung nicht aus. Das folgt nicht aus ihrer Seitenzahl, sondern aus offenen Kerntatsachen, teilweise nur referierten Untersuchungen und nicht ausgefüllten Beweisangeboten. Die frühere Beschreibung als bereits umfassend integrierter Begründungsbestand war zu weitgehend.</w:t>
      </w:r>
    </w:p>
    <w:p>
      <w:r>
        <w:t>Die notwendige Korrektur lautet nicht: alle langen Texte ungeprüft wieder anhängen. Sie lautet: belegte Befunde und erforderliche Herleitungsschritte wieder ausführen, neu verfügbare Daten auswerten, interne Arbeitsanweisungen aus dem Gerichtstext herausnehmen und die verbleibenden Erkenntnislücken einzeln kennzeichnen. Die vierteilige Architektur kann erhalten bleiben.</w:t>
      </w:r>
    </w:p>
    <w:p>
      <w:pPr>
        <w:pStyle w:val="Heading1"/>
      </w:pPr>
      <w:r>
        <w:t>1. Gegenstand und Grenzen des Abgleichs</w:t>
      </w:r>
    </w:p>
    <w:p>
      <w:r>
        <w:t>Geprüft wurden die drei gemeinsamen Abschnitte der Fassung 4, die tragenden individuellen Abschnitte und Anträge beider Gesamtfassungen sowie die korrespondierenden Teile von V-Gutachten, Rundfunkalarm-Gutachten und Kurzgutachten. Externe Studien wurden hinsichtlich ihres beschriebenen Gegenstands und ihrer Verwendung in V4 abgeglichen. Der technische CSV-Abgleich ist neu durchgeführt worden. Die empirische Richtigkeit aller Beschwerdevorwürfe, die Originalvideos, alle ausgehenden Sendungen, Antworten und Gerichtsakten sind damit nicht neu validiert.</w:t>
      </w:r>
    </w:p>
    <w:p>
      <w:r>
        <w:t>Zusätzlich wurde in der Library eine Rundfunkalarm-Fassung vom 13.09.2026 gefunden. Sie ist eine weitere Quellenfassung und wird getrennt vom Vergleich mit der ursprünglich verwendeten Fassung vom 27.06.2026 behandelt. Ihre zusätzlichen externen Rechercheangaben gelten nicht bereits durch ihre Aufnahme in einen Projekttext als unabhängig bestätigt.</w:t>
      </w:r>
    </w:p>
    <w:tbl>
      <w:tblPr>
        <w:tblW w:type="auto" w:w="0"/>
        <w:jc w:val="center"/>
        <w:tblLayout w:type="fixed"/>
        <w:tblLook w:firstColumn="1" w:firstRow="1" w:lastColumn="0" w:lastRow="0" w:noHBand="0" w:noVBand="1" w:val="04A0"/>
      </w:tblPr>
      <w:tblGrid>
        <w:gridCol w:w="3024"/>
        <w:gridCol w:w="2477"/>
        <w:gridCol w:w="4378"/>
      </w:tblGrid>
      <w:tr>
        <w:trPr>
          <w:tblHeader/>
        </w:trPr>
        <w:tc>
          <w:tcPr>
            <w:tcW w:type="dxa" w:w="3024"/>
            <w:vAlign w:val="center"/>
            <w:tcMar>
              <w:top w:w="100" w:type="dxa"/>
              <w:bottom w:w="100" w:type="dxa"/>
              <w:left w:w="100" w:type="dxa"/>
              <w:right w:w="100" w:type="dxa"/>
            </w:tcMar>
            <w:shd w:fill="E7EDF1"/>
          </w:tcPr>
          <w:p>
            <w:pPr>
              <w:spacing w:after="60" w:line="252" w:lineRule="auto"/>
            </w:pPr>
            <w:r>
              <w:rPr>
                <w:b/>
                <w:sz w:val="20"/>
              </w:rPr>
              <w:t>Unterlage</w:t>
            </w:r>
          </w:p>
        </w:tc>
        <w:tc>
          <w:tcPr>
            <w:tcW w:type="dxa" w:w="2477"/>
            <w:vAlign w:val="center"/>
            <w:tcMar>
              <w:top w:w="100" w:type="dxa"/>
              <w:bottom w:w="100" w:type="dxa"/>
              <w:left w:w="100" w:type="dxa"/>
              <w:right w:w="100" w:type="dxa"/>
            </w:tcMar>
            <w:shd w:fill="E7EDF1"/>
          </w:tcPr>
          <w:p>
            <w:pPr>
              <w:spacing w:after="60" w:line="252" w:lineRule="auto"/>
            </w:pPr>
            <w:r>
              <w:rPr>
                <w:b/>
                <w:sz w:val="20"/>
              </w:rPr>
              <w:t>Umfang</w:t>
            </w:r>
          </w:p>
        </w:tc>
        <w:tc>
          <w:tcPr>
            <w:tcW w:type="dxa" w:w="4378"/>
            <w:vAlign w:val="center"/>
            <w:tcMar>
              <w:top w:w="100" w:type="dxa"/>
              <w:bottom w:w="100" w:type="dxa"/>
              <w:left w:w="100" w:type="dxa"/>
              <w:right w:w="100" w:type="dxa"/>
            </w:tcMar>
            <w:shd w:fill="E7EDF1"/>
          </w:tcPr>
          <w:p>
            <w:pPr>
              <w:spacing w:after="60" w:line="252" w:lineRule="auto"/>
            </w:pPr>
            <w:r>
              <w:rPr>
                <w:b/>
                <w:sz w:val="20"/>
              </w:rPr>
              <w:t>Einordnung</w:t>
            </w:r>
          </w:p>
        </w:tc>
      </w:tr>
      <w:tr>
        <w:tc>
          <w:tcPr>
            <w:tcW w:type="dxa" w:w="3024"/>
            <w:vAlign w:val="center"/>
            <w:tcMar>
              <w:top w:w="100" w:type="dxa"/>
              <w:bottom w:w="100" w:type="dxa"/>
              <w:left w:w="100" w:type="dxa"/>
              <w:right w:w="100" w:type="dxa"/>
            </w:tcMar>
          </w:tcPr>
          <w:p>
            <w:pPr>
              <w:spacing w:after="60" w:line="252" w:lineRule="auto"/>
            </w:pPr>
            <w:r>
              <w:rPr>
                <w:b w:val="0"/>
                <w:sz w:val="20"/>
              </w:rPr>
              <w:t>V-Gutachten 1.3</w:t>
            </w:r>
          </w:p>
        </w:tc>
        <w:tc>
          <w:tcPr>
            <w:tcW w:type="dxa" w:w="2477"/>
            <w:vAlign w:val="center"/>
            <w:tcMar>
              <w:top w:w="100" w:type="dxa"/>
              <w:bottom w:w="100" w:type="dxa"/>
              <w:left w:w="100" w:type="dxa"/>
              <w:right w:w="100" w:type="dxa"/>
            </w:tcMar>
          </w:tcPr>
          <w:p>
            <w:pPr>
              <w:spacing w:after="60" w:line="252" w:lineRule="auto"/>
            </w:pPr>
            <w:r>
              <w:rPr>
                <w:b w:val="0"/>
                <w:sz w:val="20"/>
              </w:rPr>
              <w:t>157 Seiten; 48.982 Wörter</w:t>
            </w:r>
          </w:p>
        </w:tc>
        <w:tc>
          <w:tcPr>
            <w:tcW w:type="dxa" w:w="4378"/>
            <w:vAlign w:val="center"/>
            <w:tcMar>
              <w:top w:w="100" w:type="dxa"/>
              <w:bottom w:w="100" w:type="dxa"/>
              <w:left w:w="100" w:type="dxa"/>
              <w:right w:w="100" w:type="dxa"/>
            </w:tcMar>
          </w:tcPr>
          <w:p>
            <w:pPr>
              <w:spacing w:after="60" w:line="252" w:lineRule="auto"/>
            </w:pPr>
            <w:r>
              <w:rPr>
                <w:b w:val="0"/>
                <w:sz w:val="20"/>
              </w:rPr>
              <w:t>Rechtlich-methodische Voranalyse; in V4 über mehrere Abschnitte verteilt.</w:t>
            </w:r>
          </w:p>
        </w:tc>
      </w:tr>
      <w:tr>
        <w:tc>
          <w:tcPr>
            <w:tcW w:type="dxa" w:w="3024"/>
            <w:vAlign w:val="center"/>
            <w:tcMar>
              <w:top w:w="100" w:type="dxa"/>
              <w:bottom w:w="100" w:type="dxa"/>
              <w:left w:w="100" w:type="dxa"/>
              <w:right w:w="100" w:type="dxa"/>
            </w:tcMar>
          </w:tcPr>
          <w:p>
            <w:pPr>
              <w:spacing w:after="60" w:line="252" w:lineRule="auto"/>
            </w:pPr>
            <w:r>
              <w:rPr>
                <w:b w:val="0"/>
                <w:sz w:val="20"/>
              </w:rPr>
              <w:t>Rundfunkalarm, 27.06.2026</w:t>
            </w:r>
          </w:p>
        </w:tc>
        <w:tc>
          <w:tcPr>
            <w:tcW w:type="dxa" w:w="2477"/>
            <w:vAlign w:val="center"/>
            <w:tcMar>
              <w:top w:w="100" w:type="dxa"/>
              <w:bottom w:w="100" w:type="dxa"/>
              <w:left w:w="100" w:type="dxa"/>
              <w:right w:w="100" w:type="dxa"/>
            </w:tcMar>
          </w:tcPr>
          <w:p>
            <w:pPr>
              <w:spacing w:after="60" w:line="252" w:lineRule="auto"/>
            </w:pPr>
            <w:r>
              <w:rPr>
                <w:b w:val="0"/>
                <w:sz w:val="20"/>
              </w:rPr>
              <w:t>30 Seiten; 7.055 Wörter</w:t>
            </w:r>
          </w:p>
        </w:tc>
        <w:tc>
          <w:tcPr>
            <w:tcW w:type="dxa" w:w="4378"/>
            <w:vAlign w:val="center"/>
            <w:tcMar>
              <w:top w:w="100" w:type="dxa"/>
              <w:bottom w:w="100" w:type="dxa"/>
              <w:left w:w="100" w:type="dxa"/>
              <w:right w:w="100" w:type="dxa"/>
            </w:tcMar>
          </w:tcPr>
          <w:p>
            <w:pPr>
              <w:spacing w:after="60" w:line="252" w:lineRule="auto"/>
            </w:pPr>
            <w:r>
              <w:rPr>
                <w:b w:val="0"/>
                <w:sz w:val="20"/>
              </w:rPr>
              <w:t>Datenbericht, rechtliche Herleitung, Wirkungsmodell und Anhänge.</w:t>
            </w:r>
          </w:p>
        </w:tc>
      </w:tr>
      <w:tr>
        <w:tc>
          <w:tcPr>
            <w:tcW w:type="dxa" w:w="3024"/>
            <w:vAlign w:val="center"/>
            <w:tcMar>
              <w:top w:w="100" w:type="dxa"/>
              <w:bottom w:w="100" w:type="dxa"/>
              <w:left w:w="100" w:type="dxa"/>
              <w:right w:w="100" w:type="dxa"/>
            </w:tcMar>
          </w:tcPr>
          <w:p>
            <w:pPr>
              <w:spacing w:after="60" w:line="252" w:lineRule="auto"/>
            </w:pPr>
            <w:r>
              <w:rPr>
                <w:b w:val="0"/>
                <w:sz w:val="20"/>
              </w:rPr>
              <w:t>Kurzgutachten, 16.07.2026</w:t>
            </w:r>
          </w:p>
        </w:tc>
        <w:tc>
          <w:tcPr>
            <w:tcW w:type="dxa" w:w="2477"/>
            <w:vAlign w:val="center"/>
            <w:tcMar>
              <w:top w:w="100" w:type="dxa"/>
              <w:bottom w:w="100" w:type="dxa"/>
              <w:left w:w="100" w:type="dxa"/>
              <w:right w:w="100" w:type="dxa"/>
            </w:tcMar>
          </w:tcPr>
          <w:p>
            <w:pPr>
              <w:spacing w:after="60" w:line="252" w:lineRule="auto"/>
            </w:pPr>
            <w:r>
              <w:rPr>
                <w:b w:val="0"/>
                <w:sz w:val="20"/>
              </w:rPr>
              <w:t>18 Seiten; 4.690 Wörter</w:t>
            </w:r>
          </w:p>
        </w:tc>
        <w:tc>
          <w:tcPr>
            <w:tcW w:type="dxa" w:w="4378"/>
            <w:vAlign w:val="center"/>
            <w:tcMar>
              <w:top w:w="100" w:type="dxa"/>
              <w:bottom w:w="100" w:type="dxa"/>
              <w:left w:w="100" w:type="dxa"/>
              <w:right w:w="100" w:type="dxa"/>
            </w:tcMar>
          </w:tcPr>
          <w:p>
            <w:pPr>
              <w:spacing w:after="60" w:line="252" w:lineRule="auto"/>
            </w:pPr>
            <w:r>
              <w:rPr>
                <w:b w:val="0"/>
                <w:sz w:val="20"/>
              </w:rPr>
              <w:t>Prozessrechtliche Argumentation; kein durchgeführtes Gesamtprogramm-Gutachten.</w:t>
            </w:r>
          </w:p>
        </w:tc>
      </w:tr>
      <w:tr>
        <w:tc>
          <w:tcPr>
            <w:tcW w:type="dxa" w:w="3024"/>
            <w:vAlign w:val="center"/>
            <w:tcMar>
              <w:top w:w="100" w:type="dxa"/>
              <w:bottom w:w="100" w:type="dxa"/>
              <w:left w:w="100" w:type="dxa"/>
              <w:right w:w="100" w:type="dxa"/>
            </w:tcMar>
          </w:tcPr>
          <w:p>
            <w:pPr>
              <w:spacing w:after="60" w:line="252" w:lineRule="auto"/>
            </w:pPr>
            <w:r>
              <w:rPr>
                <w:b w:val="0"/>
                <w:sz w:val="20"/>
              </w:rPr>
              <w:t>V4: Abschnitte 2 / 3 / 4</w:t>
            </w:r>
          </w:p>
        </w:tc>
        <w:tc>
          <w:tcPr>
            <w:tcW w:type="dxa" w:w="2477"/>
            <w:vAlign w:val="center"/>
            <w:tcMar>
              <w:top w:w="100" w:type="dxa"/>
              <w:bottom w:w="100" w:type="dxa"/>
              <w:left w:w="100" w:type="dxa"/>
              <w:right w:w="100" w:type="dxa"/>
            </w:tcMar>
          </w:tcPr>
          <w:p>
            <w:pPr>
              <w:spacing w:after="60" w:line="252" w:lineRule="auto"/>
            </w:pPr>
            <w:r>
              <w:rPr>
                <w:b w:val="0"/>
                <w:sz w:val="20"/>
              </w:rPr>
              <w:t>8 / 7 / 10 Seiten</w:t>
            </w:r>
          </w:p>
        </w:tc>
        <w:tc>
          <w:tcPr>
            <w:tcW w:type="dxa" w:w="4378"/>
            <w:vAlign w:val="center"/>
            <w:tcMar>
              <w:top w:w="100" w:type="dxa"/>
              <w:bottom w:w="100" w:type="dxa"/>
              <w:left w:w="100" w:type="dxa"/>
              <w:right w:w="100" w:type="dxa"/>
            </w:tcMar>
          </w:tcPr>
          <w:p>
            <w:pPr>
              <w:spacing w:after="60" w:line="252" w:lineRule="auto"/>
            </w:pPr>
            <w:r>
              <w:rPr>
                <w:b w:val="0"/>
                <w:sz w:val="20"/>
              </w:rPr>
              <w:t>3.114 / 2.195 / 3.414 Wörter.</w:t>
            </w:r>
          </w:p>
        </w:tc>
      </w:tr>
      <w:tr>
        <w:tc>
          <w:tcPr>
            <w:tcW w:type="dxa" w:w="3024"/>
            <w:vAlign w:val="center"/>
            <w:tcMar>
              <w:top w:w="100" w:type="dxa"/>
              <w:bottom w:w="100" w:type="dxa"/>
              <w:left w:w="100" w:type="dxa"/>
              <w:right w:w="100" w:type="dxa"/>
            </w:tcMar>
          </w:tcPr>
          <w:p>
            <w:pPr>
              <w:spacing w:after="60" w:line="252" w:lineRule="auto"/>
            </w:pPr>
            <w:r>
              <w:rPr>
                <w:b w:val="0"/>
                <w:sz w:val="20"/>
              </w:rPr>
              <w:t>V4: Beitragsklage / Projekt 51</w:t>
            </w:r>
          </w:p>
        </w:tc>
        <w:tc>
          <w:tcPr>
            <w:tcW w:type="dxa" w:w="2477"/>
            <w:vAlign w:val="center"/>
            <w:tcMar>
              <w:top w:w="100" w:type="dxa"/>
              <w:bottom w:w="100" w:type="dxa"/>
              <w:left w:w="100" w:type="dxa"/>
              <w:right w:w="100" w:type="dxa"/>
            </w:tcMar>
          </w:tcPr>
          <w:p>
            <w:pPr>
              <w:spacing w:after="60" w:line="252" w:lineRule="auto"/>
            </w:pPr>
            <w:r>
              <w:rPr>
                <w:b w:val="0"/>
                <w:sz w:val="20"/>
              </w:rPr>
              <w:t>34 / 36 Seiten</w:t>
            </w:r>
          </w:p>
        </w:tc>
        <w:tc>
          <w:tcPr>
            <w:tcW w:type="dxa" w:w="4378"/>
            <w:vAlign w:val="center"/>
            <w:tcMar>
              <w:top w:w="100" w:type="dxa"/>
              <w:bottom w:w="100" w:type="dxa"/>
              <w:left w:w="100" w:type="dxa"/>
              <w:right w:w="100" w:type="dxa"/>
            </w:tcMar>
          </w:tcPr>
          <w:p>
            <w:pPr>
              <w:spacing w:after="60" w:line="252" w:lineRule="auto"/>
            </w:pPr>
            <w:r>
              <w:rPr>
                <w:b w:val="0"/>
                <w:sz w:val="20"/>
              </w:rPr>
              <w:t>11.089 / 12.299 Wörter einschließlich Gliederung und Tabellen.</w:t>
            </w:r>
          </w:p>
        </w:tc>
      </w:tr>
    </w:tbl>
    <w:p/>
    <w:p>
      <w:r>
        <w:t>Wortzählung: durch Leerraum getrennte Wörter im Dokumentkörper einschließlich Tabellen und Überschriften, ohne Kopf- und Fußzeilen. Die rund 69-prozentige Textreduktion vom Juni-Rundfunkalarm-Gutachten zu Abschnitt 3 misst nicht den prozentualen Verlust juristischer Aussagekraft.</w:t>
      </w:r>
    </w:p>
    <w:p>
      <w:pPr>
        <w:pStyle w:val="Heading1"/>
      </w:pPr>
      <w:r>
        <w:t>2. Die konkreten Befunde in Fassung 4</w:t>
      </w:r>
    </w:p>
    <w:p>
      <w:pPr>
        <w:pStyle w:val="Heading2"/>
      </w:pPr>
      <w:r>
        <w:t>2.1 Der zentrale Tatsachenkern bleibt offen</w:t>
      </w:r>
    </w:p>
    <w:p>
      <w:r>
        <w:t>Befund: A-Gesamtfassung, Abschnitt 1.8, S. 7. Dort steht: „Der konkrete Tatsachenkern lautet: {wenige bereits belegte, zeitlich passende Strukturindizien unter Bezug auf Abschnitt 2 und 3}.“ Das ist nicht nur ein Feld für Name oder Aktenzeichen. Es betrifft die entscheidende Verbindung zwischen Programmbehauptung, Zeitraum und Bescheid.</w:t>
      </w:r>
    </w:p>
    <w:p>
      <w:r>
        <w:t>Konsequenz: Der gemeinsame Teil muss die bereits aus den Quellen ableitbaren Tatsachendossiers enthalten. Im Einzelfall werden daraus passende Zeitfenster und Nachweise ausgewählt; sie werden nicht erst vollständig dem einzelnen Nutzer zur Erarbeitung überlassen.</w:t>
      </w:r>
    </w:p>
    <w:p>
      <w:pPr>
        <w:pStyle w:val="Heading2"/>
      </w:pPr>
      <w:r>
        <w:t>2.2 Untersuchungen werden zu oft beschrieben statt ausgewertet</w:t>
      </w:r>
    </w:p>
    <w:p>
      <w:r>
        <w:t>Befund: Abschnitte 2.3 bis 2.5 schildern Umfang, Methode und Grenzen der Müller-, Glashaus- und O-Ton-Arbeiten. Abschnitt 2.7 fasst Jeitner, Maurer und weitere Untersuchungen sogar vorwiegend als Rechercheansätze zusammen. Gegenstand und Einschränkungen sind damit nachvollziehbar; konkrete tragende Einzelbefunde, Fundstellen und deren Schlusskette fehlen dagegen häufig.</w:t>
      </w:r>
    </w:p>
    <w:p>
      <w:r>
        <w:t>Konsequenz: Pro verwendeter Untersuchung: tatsächlicher Befund, konkrete Originalstelle, Erhebungsweise, zeitliche Zuordnung, tragfähiger Schluss, Gegenbefund und daraus folgende begrenzte Beweisfrage. Nicht verfügbare Originale bleiben als solche gekennzeichnet. Eine bloße Quellenliste wird nicht zur Tatsachenbehauptung erklärt.</w:t>
      </w:r>
    </w:p>
    <w:p>
      <w:pPr>
        <w:pStyle w:val="Heading2"/>
      </w:pPr>
      <w:r>
        <w:t>2.3 Das Beschwerdekapitel ist nicht inhaltsleer, aber zu stark abstrahiert</w:t>
      </w:r>
    </w:p>
    <w:p>
      <w:r>
        <w:t>Befund: Abschnitt 3 bewahrt die Hauptzahlen, Medienverteilung, einzelne Kategorien, Jahresgruppen und alle sechs Wirkungsstufen. Verloren beziehungsweise stark verkürzt sind unter anderem die differenzierte Sender- und Monatsdarstellung, die anstaltsbezogene Ausgestaltung des Beschwerdewegs und ausformulierte Zuordnungen von Kontrolldaten zu Beweisthemen. Das Juni-Gutachten enthält solche Gliederungen und Fragen in B-F, J-K und N.</w:t>
      </w:r>
    </w:p>
    <w:p>
      <w:r>
        <w:t>Konsequenz: Nicht sämtliche Tabellen müssen in den Haupttext zurück. Die für Anstalt und Zeitraum relevanten Tabellen und Erläuterungen gehören jedoch unmittelbar in Abschnitt 3 oder in eindeutig zitierte Datenanlagen. Die Verknüpfung mit konkreten Beschwerdevorgängen muss hinzukommen.</w:t>
      </w:r>
    </w:p>
    <w:p>
      <w:pPr>
        <w:pStyle w:val="Heading2"/>
      </w:pPr>
      <w:r>
        <w:t>2.4 Wesentliche Einzelfallketten sind weiterhin nur angekündigt</w:t>
      </w:r>
    </w:p>
    <w:p>
      <w:r>
        <w:t>Befund: Abschnitt 3.8 enthält {ausgewählte vollständige Beschwerdeketten}; Abschnitt 3.9 erklärt, wie sie untersucht werden sollten. Der Text liefert damit ein Prüfschema, aber noch nicht die Tatsachen einer bereits durchgeführten Antwort- und Wirkungsanalyse. Diese Lücke bestand zum Teil bereits im Originalgutachten.</w:t>
      </w:r>
    </w:p>
    <w:p>
      <w:r>
        <w:t>Konsequenz: Beitrag, Beschwerde, nachgewiesener Zugang, Antwort, Gremienentscheidung und spätere Fassung je Vorgang verbinden. Fehlende Glieder dieser Kette gesondert ausweisen. Eine unbegründete Beschwerde kann ordnungsgemäß zurückgewiesen werden; fehlende Abhilfe beweist dann keine Kontrollstörung.</w:t>
      </w:r>
    </w:p>
    <w:p>
      <w:pPr>
        <w:pStyle w:val="Heading2"/>
      </w:pPr>
      <w:r>
        <w:t>2.5 Rechtliche Herleitungen werden zu Begriffserklärungen</w:t>
      </w:r>
    </w:p>
    <w:p>
      <w:r>
        <w:t>Befund: Abschnitte 4.1 bis 4.6 bewahren die Begriffe institutioneller Lebenssachverhalt, effektiver Rechtsschutz und sekundäre Darlegungslast. Teilweise fehlen jedoch die einzelnen Ableitungsschritte vom konkreten Informationshindernis zur bestimmten verfahrensrechtlichen Folge. Der Hinweis auf den VGH Baden-Württemberg in 4.2 bleibt bei einem kurzen Absatz.</w:t>
      </w:r>
    </w:p>
    <w:p>
      <w:r>
        <w:t>Konsequenz: Die Kette gesondert ausführen: Entscheidungserheblichkeit, geeignete Erkenntnisquelle, tatsächliche Verfügbarkeit, eigene Beschaffungsversuche, verbleibende Hürde, zumutbares gerichtliches Aufklärungsmittel und Auseinandersetzung mit den Gegenargumenten. Prozessuale Mitwirkung und eigenständiger materieller Auskunftsanspruch bleiben getrennt.</w:t>
      </w:r>
    </w:p>
    <w:p>
      <w:pPr>
        <w:pStyle w:val="Heading2"/>
      </w:pPr>
      <w:r>
        <w:t>2.6 Beweisangebote sind teilweise Formulare, keine fertigen Anträge</w:t>
      </w:r>
    </w:p>
    <w:p>
      <w:r>
        <w:t>Befund: Abschnitte 4.7, 4.11 und 4.12 enthalten Tabellen und Satzschablonen mit offenen Datenbeständen, Zeiträumen, Tatsachen und Belegen. Der Satz, ein Antrag diene nicht der Ausforschung, stellt diese Verbindung nicht selbst her.</w:t>
      </w:r>
    </w:p>
    <w:p>
      <w:r>
        <w:t>Konsequenz: Je Begehren müssen konkrete Tatsache, Erkenntnisbasis, Beweismittel, haltende Stelle, Zeitraum und Entscheidungserheblichkeit ausformuliert sein. Für Tatsachen außerhalb der eigenen Wahrnehmung dürfen die Anforderungen nicht schematisch überspannt werden; trotzdem sind greifbare Anknüpfungstatsachen erforderlich. [R2]</w:t>
      </w:r>
    </w:p>
    <w:p>
      <w:pPr>
        <w:pStyle w:val="Heading2"/>
      </w:pPr>
      <w:r>
        <w:t>2.7 Arbeitsanleitung und eigener Parteivortrag sind vermischt</w:t>
      </w:r>
    </w:p>
    <w:p>
      <w:r>
        <w:t>Befund: Viele Absätze erklären, was die Klägerseite künftig prüfen, kodieren oder beschaffen sollte. Solche Hinweise sind für die Redaktion nützlich, wirken im Hauptschriftsatz jedoch wie ein noch nicht ausgeführtes Arbeitsprogramm. Die methodischen Vorbehalte nehmen teilweise mehr Raum ein als der positiv verwendete Befund.</w:t>
      </w:r>
    </w:p>
    <w:p>
      <w:r>
        <w:t>Konsequenz: Interne Anleitungen auslagern. Im Gerichtstext zuerst den belegten Befund ausführen, dann seine rechtliche Bedeutung und notwendige Aussagegrenze, zuletzt die präzise offene Frage. Einschränkungen nicht verschweigen; sie aber nicht an die Stelle des Vortrags setzen.</w:t>
      </w:r>
    </w:p>
    <w:p>
      <w:pPr>
        <w:pStyle w:val="Heading2"/>
      </w:pPr>
      <w:r>
        <w:t>2.8 Ein Querverweis ist unzutreffend</w:t>
      </w:r>
    </w:p>
    <w:p>
      <w:r>
        <w:t>Befund: Abschnitt 2.2 verweist auf Abschnitt 4.18. Abschnitt 4 endet tatsächlich mit 4.17; die gemeinsame Dokumentation befindet sich unter 4.16.</w:t>
      </w:r>
    </w:p>
    <w:p>
      <w:r>
        <w:t>Konsequenz: Querverweise bei der Überarbeitung systematisch prüfen. Der Fehler ist nicht der tragende Substantiierungsmangel, erschwert aber die Nutzung und sollte nicht in eine Serieneinreichung übernommen werden.</w:t>
      </w:r>
    </w:p>
    <w:p>
      <w:pPr>
        <w:pStyle w:val="Heading1"/>
      </w:pPr>
      <w:r>
        <w:t>3. Was die technische CSV-Prüfung jetzt zusätzlich erlaubt</w:t>
      </w:r>
    </w:p>
    <w:p>
      <w:r>
        <w:t>Die wiedergefundene Originaldatei wurde am 04.10.2026 technisch nachgezählt. Ihre Prüfsumme stimmt mit der im Juni-Gutachten angegebenen Prüfsumme überein. Die Hauptkennzahlen lassen sich aus dieser Datei reproduzieren. Damit ist der Vorbehalt in V4, es liege nur eine übernommene Zahlendarstellung ohne eigenen Dateiabgleich vor, für diese technische Prüfung überholt. Das belegt weder die Richtigkeit der Beschwerdevorwürfe noch einen tatsächlichen Zugang bei den Anstalten.</w:t>
      </w:r>
    </w:p>
    <w:tbl>
      <w:tblPr>
        <w:tblW w:type="auto" w:w="0"/>
        <w:jc w:val="center"/>
        <w:tblLayout w:type="fixed"/>
        <w:tblLook w:firstColumn="1" w:firstRow="1" w:lastColumn="0" w:lastRow="0" w:noHBand="0" w:noVBand="1" w:val="04A0"/>
      </w:tblPr>
      <w:tblGrid>
        <w:gridCol w:w="6120"/>
        <w:gridCol w:w="3758"/>
      </w:tblGrid>
      <w:tr>
        <w:trPr>
          <w:tblHeader/>
        </w:trPr>
        <w:tc>
          <w:tcPr>
            <w:tcW w:type="dxa" w:w="6120"/>
            <w:vAlign w:val="center"/>
            <w:tcMar>
              <w:top w:w="100" w:type="dxa"/>
              <w:bottom w:w="100" w:type="dxa"/>
              <w:left w:w="100" w:type="dxa"/>
              <w:right w:w="100" w:type="dxa"/>
            </w:tcMar>
            <w:shd w:fill="E7EDF1"/>
          </w:tcPr>
          <w:p>
            <w:pPr>
              <w:spacing w:after="60" w:line="252" w:lineRule="auto"/>
            </w:pPr>
            <w:r>
              <w:rPr>
                <w:b/>
                <w:sz w:val="20"/>
              </w:rPr>
              <w:t>Technisch geprüfter Punkt</w:t>
            </w:r>
          </w:p>
        </w:tc>
        <w:tc>
          <w:tcPr>
            <w:tcW w:type="dxa" w:w="3758"/>
            <w:vAlign w:val="center"/>
            <w:tcMar>
              <w:top w:w="100" w:type="dxa"/>
              <w:bottom w:w="100" w:type="dxa"/>
              <w:left w:w="100" w:type="dxa"/>
              <w:right w:w="100" w:type="dxa"/>
            </w:tcMar>
            <w:shd w:fill="E7EDF1"/>
          </w:tcPr>
          <w:p>
            <w:pPr>
              <w:spacing w:after="60" w:line="252" w:lineRule="auto"/>
            </w:pPr>
            <w:r>
              <w:rPr>
                <w:b/>
                <w:sz w:val="20"/>
              </w:rPr>
              <w:t>Ergebnis</w:t>
            </w:r>
          </w:p>
        </w:tc>
      </w:tr>
      <w:tr>
        <w:tc>
          <w:tcPr>
            <w:tcW w:type="dxa" w:w="6120"/>
            <w:vAlign w:val="center"/>
            <w:tcMar>
              <w:top w:w="100" w:type="dxa"/>
              <w:bottom w:w="100" w:type="dxa"/>
              <w:left w:w="100" w:type="dxa"/>
              <w:right w:w="100" w:type="dxa"/>
            </w:tcMar>
          </w:tcPr>
          <w:p>
            <w:pPr>
              <w:spacing w:after="60" w:line="252" w:lineRule="auto"/>
            </w:pPr>
            <w:r>
              <w:rPr>
                <w:b w:val="0"/>
                <w:sz w:val="20"/>
              </w:rPr>
              <w:t>Datensätze / unterschiedliche Beschwerde-IDs</w:t>
            </w:r>
          </w:p>
        </w:tc>
        <w:tc>
          <w:tcPr>
            <w:tcW w:type="dxa" w:w="3758"/>
            <w:vAlign w:val="center"/>
            <w:tcMar>
              <w:top w:w="100" w:type="dxa"/>
              <w:bottom w:w="100" w:type="dxa"/>
              <w:left w:w="100" w:type="dxa"/>
              <w:right w:w="100" w:type="dxa"/>
            </w:tcMar>
          </w:tcPr>
          <w:p>
            <w:pPr>
              <w:spacing w:after="60" w:line="252" w:lineRule="auto"/>
            </w:pPr>
            <w:r>
              <w:rPr>
                <w:b w:val="0"/>
                <w:sz w:val="20"/>
              </w:rPr>
              <w:t>4.086 / 4.086</w:t>
            </w:r>
          </w:p>
        </w:tc>
      </w:tr>
      <w:tr>
        <w:tc>
          <w:tcPr>
            <w:tcW w:type="dxa" w:w="6120"/>
            <w:vAlign w:val="center"/>
            <w:tcMar>
              <w:top w:w="100" w:type="dxa"/>
              <w:bottom w:w="100" w:type="dxa"/>
              <w:left w:w="100" w:type="dxa"/>
              <w:right w:w="100" w:type="dxa"/>
            </w:tcMar>
          </w:tcPr>
          <w:p>
            <w:pPr>
              <w:spacing w:after="60" w:line="252" w:lineRule="auto"/>
            </w:pPr>
            <w:r>
              <w:rPr>
                <w:b w:val="0"/>
                <w:sz w:val="20"/>
              </w:rPr>
              <w:t>Summe gespeicherter Teilungen</w:t>
            </w:r>
          </w:p>
        </w:tc>
        <w:tc>
          <w:tcPr>
            <w:tcW w:type="dxa" w:w="3758"/>
            <w:vAlign w:val="center"/>
            <w:tcMar>
              <w:top w:w="100" w:type="dxa"/>
              <w:bottom w:w="100" w:type="dxa"/>
              <w:left w:w="100" w:type="dxa"/>
              <w:right w:w="100" w:type="dxa"/>
            </w:tcMar>
          </w:tcPr>
          <w:p>
            <w:pPr>
              <w:spacing w:after="60" w:line="252" w:lineRule="auto"/>
            </w:pPr>
            <w:r>
              <w:rPr>
                <w:b w:val="0"/>
                <w:sz w:val="20"/>
              </w:rPr>
              <w:t>118.627</w:t>
            </w:r>
          </w:p>
        </w:tc>
      </w:tr>
      <w:tr>
        <w:tc>
          <w:tcPr>
            <w:tcW w:type="dxa" w:w="6120"/>
            <w:vAlign w:val="center"/>
            <w:tcMar>
              <w:top w:w="100" w:type="dxa"/>
              <w:bottom w:w="100" w:type="dxa"/>
              <w:left w:w="100" w:type="dxa"/>
              <w:right w:w="100" w:type="dxa"/>
            </w:tcMar>
          </w:tcPr>
          <w:p>
            <w:pPr>
              <w:spacing w:after="60" w:line="252" w:lineRule="auto"/>
            </w:pPr>
            <w:r>
              <w:rPr>
                <w:b w:val="0"/>
                <w:sz w:val="20"/>
              </w:rPr>
              <w:t>Summe gespeicherter Rundfunkratsinformationen</w:t>
            </w:r>
          </w:p>
        </w:tc>
        <w:tc>
          <w:tcPr>
            <w:tcW w:type="dxa" w:w="3758"/>
            <w:vAlign w:val="center"/>
            <w:tcMar>
              <w:top w:w="100" w:type="dxa"/>
              <w:bottom w:w="100" w:type="dxa"/>
              <w:left w:w="100" w:type="dxa"/>
              <w:right w:w="100" w:type="dxa"/>
            </w:tcMar>
          </w:tcPr>
          <w:p>
            <w:pPr>
              <w:spacing w:after="60" w:line="252" w:lineRule="auto"/>
            </w:pPr>
            <w:r>
              <w:rPr>
                <w:b w:val="0"/>
                <w:sz w:val="20"/>
              </w:rPr>
              <w:t>3.329</w:t>
            </w:r>
          </w:p>
        </w:tc>
      </w:tr>
      <w:tr>
        <w:tc>
          <w:tcPr>
            <w:tcW w:type="dxa" w:w="6120"/>
            <w:vAlign w:val="center"/>
            <w:tcMar>
              <w:top w:w="100" w:type="dxa"/>
              <w:bottom w:w="100" w:type="dxa"/>
              <w:left w:w="100" w:type="dxa"/>
              <w:right w:w="100" w:type="dxa"/>
            </w:tcMar>
          </w:tcPr>
          <w:p>
            <w:pPr>
              <w:spacing w:after="60" w:line="252" w:lineRule="auto"/>
            </w:pPr>
            <w:r>
              <w:rPr>
                <w:b w:val="0"/>
                <w:sz w:val="20"/>
              </w:rPr>
              <w:t>Vorgänge mit mindestens einer Rundfunkratsinformation</w:t>
            </w:r>
          </w:p>
        </w:tc>
        <w:tc>
          <w:tcPr>
            <w:tcW w:type="dxa" w:w="3758"/>
            <w:vAlign w:val="center"/>
            <w:tcMar>
              <w:top w:w="100" w:type="dxa"/>
              <w:bottom w:w="100" w:type="dxa"/>
              <w:left w:w="100" w:type="dxa"/>
              <w:right w:w="100" w:type="dxa"/>
            </w:tcMar>
          </w:tcPr>
          <w:p>
            <w:pPr>
              <w:spacing w:after="60" w:line="252" w:lineRule="auto"/>
            </w:pPr>
            <w:r>
              <w:rPr>
                <w:b w:val="0"/>
                <w:sz w:val="20"/>
              </w:rPr>
              <w:t>474</w:t>
            </w:r>
          </w:p>
        </w:tc>
      </w:tr>
      <w:tr>
        <w:tc>
          <w:tcPr>
            <w:tcW w:type="dxa" w:w="6120"/>
            <w:vAlign w:val="center"/>
            <w:tcMar>
              <w:top w:w="100" w:type="dxa"/>
              <w:bottom w:w="100" w:type="dxa"/>
              <w:left w:w="100" w:type="dxa"/>
              <w:right w:w="100" w:type="dxa"/>
            </w:tcMar>
          </w:tcPr>
          <w:p>
            <w:pPr>
              <w:spacing w:after="60" w:line="252" w:lineRule="auto"/>
            </w:pPr>
            <w:r>
              <w:rPr>
                <w:b w:val="0"/>
                <w:sz w:val="20"/>
              </w:rPr>
              <w:t>Medium TV / Online / Radio / leer</w:t>
            </w:r>
          </w:p>
        </w:tc>
        <w:tc>
          <w:tcPr>
            <w:tcW w:type="dxa" w:w="3758"/>
            <w:vAlign w:val="center"/>
            <w:tcMar>
              <w:top w:w="100" w:type="dxa"/>
              <w:bottom w:w="100" w:type="dxa"/>
              <w:left w:w="100" w:type="dxa"/>
              <w:right w:w="100" w:type="dxa"/>
            </w:tcMar>
          </w:tcPr>
          <w:p>
            <w:pPr>
              <w:spacing w:after="60" w:line="252" w:lineRule="auto"/>
            </w:pPr>
            <w:r>
              <w:rPr>
                <w:b w:val="0"/>
                <w:sz w:val="20"/>
              </w:rPr>
              <w:t>3.943 / 43 / 5 / 95</w:t>
            </w:r>
          </w:p>
        </w:tc>
      </w:tr>
      <w:tr>
        <w:tc>
          <w:tcPr>
            <w:tcW w:type="dxa" w:w="6120"/>
            <w:vAlign w:val="center"/>
            <w:tcMar>
              <w:top w:w="100" w:type="dxa"/>
              <w:bottom w:w="100" w:type="dxa"/>
              <w:left w:w="100" w:type="dxa"/>
              <w:right w:w="100" w:type="dxa"/>
            </w:tcMar>
          </w:tcPr>
          <w:p>
            <w:pPr>
              <w:spacing w:after="60" w:line="252" w:lineRule="auto"/>
            </w:pPr>
            <w:r>
              <w:rPr>
                <w:b w:val="0"/>
                <w:sz w:val="20"/>
              </w:rPr>
              <w:t>Leere Sender- bzw. Ausstrahlungsfelder</w:t>
            </w:r>
          </w:p>
        </w:tc>
        <w:tc>
          <w:tcPr>
            <w:tcW w:type="dxa" w:w="3758"/>
            <w:vAlign w:val="center"/>
            <w:tcMar>
              <w:top w:w="100" w:type="dxa"/>
              <w:bottom w:w="100" w:type="dxa"/>
              <w:left w:w="100" w:type="dxa"/>
              <w:right w:w="100" w:type="dxa"/>
            </w:tcMar>
          </w:tcPr>
          <w:p>
            <w:pPr>
              <w:spacing w:after="60" w:line="252" w:lineRule="auto"/>
            </w:pPr>
            <w:r>
              <w:rPr>
                <w:b w:val="0"/>
                <w:sz w:val="20"/>
              </w:rPr>
              <w:t>Jeweils 164 Datensätze</w:t>
            </w:r>
          </w:p>
        </w:tc>
      </w:tr>
      <w:tr>
        <w:tc>
          <w:tcPr>
            <w:tcW w:type="dxa" w:w="6120"/>
            <w:vAlign w:val="center"/>
            <w:tcMar>
              <w:top w:w="100" w:type="dxa"/>
              <w:bottom w:w="100" w:type="dxa"/>
              <w:left w:w="100" w:type="dxa"/>
              <w:right w:w="100" w:type="dxa"/>
            </w:tcMar>
          </w:tcPr>
          <w:p>
            <w:pPr>
              <w:spacing w:after="60" w:line="252" w:lineRule="auto"/>
            </w:pPr>
            <w:r>
              <w:rPr>
                <w:b w:val="0"/>
                <w:sz w:val="20"/>
              </w:rPr>
              <w:t>Datensätze mit Inhalt im zusätzlichen Linkfeld</w:t>
            </w:r>
          </w:p>
        </w:tc>
        <w:tc>
          <w:tcPr>
            <w:tcW w:type="dxa" w:w="3758"/>
            <w:vAlign w:val="center"/>
            <w:tcMar>
              <w:top w:w="100" w:type="dxa"/>
              <w:bottom w:w="100" w:type="dxa"/>
              <w:left w:w="100" w:type="dxa"/>
              <w:right w:w="100" w:type="dxa"/>
            </w:tcMar>
          </w:tcPr>
          <w:p>
            <w:pPr>
              <w:spacing w:after="60" w:line="252" w:lineRule="auto"/>
            </w:pPr>
            <w:r>
              <w:rPr>
                <w:b w:val="0"/>
                <w:sz w:val="20"/>
              </w:rPr>
              <w:t>1.206; Inhalt dieser Links nicht neu geprüft</w:t>
            </w:r>
          </w:p>
        </w:tc>
      </w:tr>
    </w:tbl>
    <w:p/>
    <w:p>
      <w:r>
        <w:t>Datei: rundfunkalarm_beschwerden_2026-06-22 (1).csv</w:t>
      </w:r>
    </w:p>
    <w:p>
      <w:r>
        <w:rPr>
          <w:sz w:val="18"/>
        </w:rPr>
        <w:t>SHA-256: b06ec9a54325bd4221b0869f9b9e34b0fcd1f36fc7e1a469d6e9455fc3a5854b</w:t>
      </w:r>
    </w:p>
    <w:p>
      <w:r>
        <w:t>Der Export hat keine eigenen strukturierten Felder für Antwortinhalt, sachliche Entscheidung, Korrektur oder Erledigungsgrund. Das schließt nicht aus, dass in Freitexten oder verlinkten Unterlagen relevante Hinweise stehen. Diese wurden hier nicht systematisch auf Antworten und Folgen untersucht. Eine Nullquote tatsächlicher Korrekturen ist deshalb aus den nachgezählten Spalten nicht ableitbar.</w:t>
      </w:r>
    </w:p>
    <w:p>
      <w:pPr>
        <w:pStyle w:val="Heading2"/>
      </w:pPr>
      <w:r>
        <w:t>Beispiel für einen substantielleren Ersatz in Abschnitt 3</w:t>
      </w:r>
    </w:p>
    <w:p>
      <w:r>
        <w:t>Die nachfolgende Formulierung ist ein redaktioneller Beispielbaustein. Der konkrete Kläger darf Prüfschritte nicht als eigene Handlung ausgeben, wenn er sie nicht selbst vorgenommen oder einen eindeutig bezeichneten Prüfbericht übernommen hat.</w:t>
      </w:r>
    </w:p>
    <w:p>
      <w:r>
        <w:t>„Der vorgelegte Export enthält 4.086 Datensätze mit jeweils unterschiedlicher Beschwerde-ID. Die technische Nachrechnung im Prüfvermerk vom 04.10.2026 ergibt 118.627 gespeicherte Teilungen und 3.329 gespeicherte Rundfunkratsinformationen. Letztere verteilen sich auf 474 Ausgangsvorgänge. Die Dateiprüfsumme stimmt mit der im Ausgangsgutachten bezeichneten Originaldatei überein. Diese Angaben betreffen Plattformaktivitäten und bestätigen für sich weder den Zugang einer bestimmten Beschwerde noch einen festgestellten Programmverstoß.“</w:t>
      </w:r>
    </w:p>
    <w:p>
      <w:r>
        <w:t>„Für die hiesige Anstalt und den maßgeblichen Sendezeitraum wird eine gesonderte Teilmenge vorgelegt. Zu den daraus konkret bezeichneten Vorgängen sind Versand- und Zugangsbelege sowie vorhandene Antworten zugeordnet. Soweit die abschließende Behandlung aus diesen Unterlagen nicht hervorgeht, wird die Vorlage der jeweils benannten Ergebnisunterlage angeregt. Erkenntnisziel ist die Behandlung dieser bestimmten Beschwerden, nicht der Schluss von der Gesamtzahl der Plattformmeldungen auf eine allgemeine Fehlerquote des Programms.“</w:t>
      </w:r>
    </w:p>
    <w:p>
      <w:r>
        <w:t>Der zweite Absatz darf erst verwendet werden, wenn die genannte Teilmengenbildung und Belegzuordnung wirklich durchgeführt wurden. Diese Prüfung ersetzt keine technische Herkunftserklärung des Plattformbetreibers und keine erforderliche datenschutzrechtliche Aufbereitung einer gerichtlichen Anlage.</w:t>
      </w:r>
    </w:p>
    <w:p>
      <w:pPr>
        <w:pStyle w:val="Heading1"/>
      </w:pPr>
      <w:r>
        <w:t>4. Zusätzliche Versionslücke: Fassung vom 13.09.2026</w:t>
      </w:r>
    </w:p>
    <w:p>
      <w:r>
        <w:t>Die neu aufgefundene 37-seitige Rundfunkalarm-Fassung enthält gegenüber der Juni-Fassung weitere Abschnitte: externe Vergleichsrecherchen zum Beschwerdeaufkommen, Unterschiede der Erledigungsarten und einen als positiven Kontrollfall dargestellten ZDF-Vorgang. V4 zitiert ausdrücklich nur den Stand 27.06.2026. Das ist ein Versionsabgleichproblem und nicht ohne Weiteres ein nachgewiesenes Herauskürzen dieser September-Ergänzungen aus dem Juni-Text. [D4, Abschn. F VI-VIII, H und Quellenverzeichnis]</w:t>
      </w:r>
    </w:p>
    <w:p>
      <w:r>
        <w:t>Der methodisch wichtige zusätzliche Gedanke lautet: Eine Beschwerde kann gerade wegen bereits erfolgter Abhilfe als erledigt behandelt werden, ohne dass das Gremium ihr nochmals formal stattgibt. Eine niedrige formale Stattgabequote ist dann nicht identisch mit einer niedrigen tatsächlichen Wirkungsquote. Der neue Text stellt einen solchen Vorgang dar. Vor seiner gerichtlichen Verwendung müssen die dort bezeichneten Originalentscheidungen und Quellen in der richtigen Fassung zugeordnet werden.</w:t>
      </w:r>
    </w:p>
    <w:p>
      <w:r>
        <w:t>Die externen Zahlen werden in diesem Prüfvermerk nicht als unabhängig neu verifiziert ausgegeben. Die wesentliche Schlussfolgerung für die Redaktion steht aber fest: Der Quellenstand muss vor einer neuerlichen Zusammenführung abgeglichen werden. Gegenbeispiele und positive Kontrollen gehören zur belastbaren Untersuchung, nicht in einen verschwiegenen Nebenbestand.</w:t>
      </w:r>
    </w:p>
    <w:p>
      <w:pPr>
        <w:pStyle w:val="Heading1"/>
      </w:pPr>
      <w:r>
        <w:t>5. Gerichtlicher Maßstab: mehr Begründung ist nicht mehr Beweis</w:t>
      </w:r>
    </w:p>
    <w:p>
      <w:r>
        <w:t>Drei Ebenen sind zu unterscheiden: die Anforderungen an eine Klageschrift nach § 82 VwGO, hinreichende tatsächliche Anhaltspunkte für eine weitere gerichtliche Untersuchung und die nach Beweiserhebung zu gewinnende Überzeugung. Eine feste Mindestseitenzahl ist keiner dieser Prüfungen zu entnehmen. Das bloße Etikett Gutachten entscheidet ebenso wenig über die wissenschaftliche Tragfähigkeit. [R1, R3, R4]</w:t>
      </w:r>
    </w:p>
    <w:p>
      <w:r>
        <w:t>BVerwG 6 C 5.24 verlangt einen Bezug zu längerfristigen evidenten und regelmäßigen Defiziten des öffentlich-rechtlichen Gesamtangebots. Einzelthemen und isolierte Formate bilden dieses Angebot nicht ohne Weiteres ab. Die hohe materielle Schwelle wirkt auf die Anforderungen an den klägerischen Vortrag zurück; regelmäßig soll eine wissenschaftliche Untersuchung geeigneter Indikatoren Anhaltspunkte liefern. Die Zeitspanne endet mit dem abgerechneten Beitragszeitraum. Der methodische Rückschluss auf diesen Gegenstand muss erklärt und mit Daten unterlegt werden. [R1, insbesondere Rn. 40-48]</w:t>
      </w:r>
    </w:p>
    <w:p>
      <w:r>
        <w:t>Die eigenen langen Gutachten waren nach ihrer Selbstbeschreibung gerade keine abgeschlossene empirische Gesamtuntersuchung. Deren Zusammenführung kann daher eine solche Untersuchung nicht ersetzen. Umgekehrt ist das Bestehen einer noch offenen Beweisfrage kein Grund, belegte Teilbefunde nur als unverbindliche Vermutungen wiederzugeben. [D1, Vorblatt; D2, Vorblatt und Abschn. L; D3, Abschn. A und D]</w:t>
      </w:r>
    </w:p>
    <w:p>
      <w:r>
        <w:t>Der VGH Baden-Württemberg problematisiert in 2 S 2529/25 die praktische und wirtschaftliche Zumutbarkeit einer vorgelagerten privaten Großbegutachtung. Das ist ein ernstzunehmender rechtlicher Anknüpfungspunkt für eine detaillierte Auseinandersetzung mit einer konkreten Erkenntnishürde. Er hat die Berufung dennoch zurückgewiesen. Die gegenüber der Klägerposition ungünstigen materiellen Erwägungen bleiben deshalb zu behandeln. [R5, S. 30-32 und Tenor]</w:t>
      </w:r>
    </w:p>
    <w:p>
      <w:r>
        <w:t>BVerwG 2 B 36.24 unterscheidet hinreichend bestimmte Beweistatsachen von einem lediglich auf das Auffinden neuer Anhaltspunkte gerichteten Ermittlungsbegehren. Wie weit der Vortrag gehen muss, hängt dabei auch von der prozessualen Situation und den Erkenntnismöglichkeiten ab. Ein Antrag auf konkrete Unterlagen muss an seinen tatsächlichen Anknüpfungspunkten geprüft werden; die Formulierung „kein Ausforschungsbeweis“ allein bewirkt nichts. [R2, Rn. 23-24]</w:t>
      </w:r>
    </w:p>
    <w:p>
      <w:pPr>
        <w:pStyle w:val="Heading1"/>
      </w:pPr>
      <w:r>
        <w:t>6. Projekt 51: eine andere, zusätzliche Begründungslast</w:t>
      </w:r>
    </w:p>
    <w:p>
      <w:r>
        <w:t>Die F-Gesamtfassung behandelt den eigenen verlorenen Prozess ausdrücklich als Ausgangspunkt. Das bleibt richtig. Im entscheidenden Abschnitt 1.9 steht aber die eigenständige außerprozessuale Wirkung des neuen Begehrens selbst noch als Platzhalter. Abschnitt 1.7 verbindet das Beitragsverhältnis, Art. 19 Abs. 4 GG und Treu und Glauben zu einer behaupteten Konsistenzbindung. Diese Verbindung ist als rechtlicher Entwicklungsansatz gekennzeichnet, aber noch nicht durch eine ausformulierte, geprüfte Anspruchsherleitung abgeschlossen.</w:t>
      </w:r>
    </w:p>
    <w:p>
      <w:r>
        <w:t>Mehr Programmdaten beseitigen diesen rechtlichen Engpass nicht. Es muss gesondert begründet werden, welche gegenwärtige konkrete Rechtsbeziehung festgestellt werden soll, welchen eigenständigen Nutzen das Urteil hätte und warum nicht nur eine unselbstständige Frage des alten oder eines anderen Prozesses zur Entscheidung gestellt wird. Die Subsidiarität nach § 43 Abs. 2 VwGO erfasst auch andere Klagearten, mit denen Rechte hätten verfolgt werden können. Ein vorheriger Verlust schafft die neue Rechtsposition nicht automatisch. [R6; F-V4, Abschn. 1.7-1.12]</w:t>
      </w:r>
    </w:p>
    <w:p>
      <w:r>
        <w:t>Gerade dieser Teil benötigt eine eigenständige verwaltungsprozessrechtliche Prüfung am individuellen Fall. Die Zahl der geplanten Verfahren und der Umfang der beigefügten Studien sind dafür kein Ersatz. Das vorliegende Audit bestätigt keine rechtlich gesicherte Verteilung der neuen Feststellungsverfahren auf alle 51 Verwaltungsgerichte.</w:t>
      </w:r>
    </w:p>
    <w:p>
      <w:pPr>
        <w:pStyle w:val="Heading1"/>
      </w:pPr>
      <w:r>
        <w:t>7. Was nicht ungeprüft zurückkehren sollte</w:t>
      </w:r>
    </w:p>
    <w:p>
      <w:r>
        <w:t>Erhalten bleiben sollten die bereits vorgenommenen Korrekturen: keine automatische Geständniswirkung wegen Schweigens, keine pauschale Beweislastumkehr, kein automatisches Ende der Entscheidungsreife durch eine offene Anfrage und keine allgemeine Kostenfreiheit allein aufgrund der Bezeichnung als Beweisanregung. Auch im Kurzgutachten wird eine sekundäre Darlegungslast nicht mit einem eigenständigen materiell-rechtlichen Anspruch gleichgesetzt. [D3, Abschn. F I; V4, Abschn. 4.3-4.6, 4.15; R3]</w:t>
      </w:r>
    </w:p>
    <w:p>
      <w:r>
        <w:t>Ein spezialgesetzlicher Auskunftsanspruch aus dem Arzneimittelrecht darf nicht ohne geprüfte Übertragungsbegründung als rundfunkrechtlicher Anspruch auftreten. Allgemeine Exkurse zum digitalen Staat, medizinische oder politische Motiverklärungen und bloße Wiederholungen derselben Rechtsbehauptung müssen nicht allein aus Respekt vor der Ausgangslänge zurück in den Gerichtstext. Die zugehörigen Originalquellen bleiben unverändert archiviert; ihre Aussagen und die eigene Bewertung sind zu unterscheiden.</w:t>
      </w:r>
    </w:p>
    <w:p>
      <w:pPr>
        <w:pStyle w:val="Heading1"/>
      </w:pPr>
      <w:r>
        <w:t>8. Zielbild der Überarbeitung: vier ausformulierte Abschnitte</w:t>
      </w:r>
    </w:p>
    <w:tbl>
      <w:tblPr>
        <w:tblW w:type="auto" w:w="0"/>
        <w:jc w:val="center"/>
        <w:tblLayout w:type="fixed"/>
        <w:tblLook w:firstColumn="1" w:firstRow="1" w:lastColumn="0" w:lastRow="0" w:noHBand="0" w:noVBand="1" w:val="04A0"/>
      </w:tblPr>
      <w:tblGrid>
        <w:gridCol w:w="2304"/>
        <w:gridCol w:w="7574"/>
      </w:tblGrid>
      <w:tr>
        <w:trPr>
          <w:tblHeader/>
        </w:trPr>
        <w:tc>
          <w:tcPr>
            <w:tcW w:type="dxa" w:w="2304"/>
            <w:vAlign w:val="center"/>
            <w:tcMar>
              <w:top w:w="100" w:type="dxa"/>
              <w:bottom w:w="100" w:type="dxa"/>
              <w:left w:w="100" w:type="dxa"/>
              <w:right w:w="100" w:type="dxa"/>
            </w:tcMar>
            <w:shd w:fill="E7EDF1"/>
          </w:tcPr>
          <w:p>
            <w:pPr>
              <w:spacing w:after="60" w:line="252" w:lineRule="auto"/>
            </w:pPr>
            <w:r>
              <w:rPr>
                <w:b/>
                <w:sz w:val="20"/>
              </w:rPr>
              <w:t>Abschnitt</w:t>
            </w:r>
          </w:p>
        </w:tc>
        <w:tc>
          <w:tcPr>
            <w:tcW w:type="dxa" w:w="7574"/>
            <w:vAlign w:val="center"/>
            <w:tcMar>
              <w:top w:w="100" w:type="dxa"/>
              <w:bottom w:w="100" w:type="dxa"/>
              <w:left w:w="100" w:type="dxa"/>
              <w:right w:w="100" w:type="dxa"/>
            </w:tcMar>
            <w:shd w:fill="E7EDF1"/>
          </w:tcPr>
          <w:p>
            <w:pPr>
              <w:spacing w:after="60" w:line="252" w:lineRule="auto"/>
            </w:pPr>
            <w:r>
              <w:rPr>
                <w:b/>
                <w:sz w:val="20"/>
              </w:rPr>
              <w:t>Was tatsächlich auszuarbeiten ist</w:t>
            </w:r>
          </w:p>
        </w:tc>
      </w:tr>
      <w:tr>
        <w:tc>
          <w:tcPr>
            <w:tcW w:type="dxa" w:w="2304"/>
            <w:vAlign w:val="center"/>
            <w:tcMar>
              <w:top w:w="100" w:type="dxa"/>
              <w:bottom w:w="100" w:type="dxa"/>
              <w:left w:w="100" w:type="dxa"/>
              <w:right w:w="100" w:type="dxa"/>
            </w:tcMar>
          </w:tcPr>
          <w:p>
            <w:pPr>
              <w:spacing w:after="60" w:line="252" w:lineRule="auto"/>
            </w:pPr>
            <w:r>
              <w:rPr>
                <w:b w:val="0"/>
                <w:sz w:val="20"/>
              </w:rPr>
              <w:t>1 | Fall und Recht</w:t>
            </w:r>
          </w:p>
        </w:tc>
        <w:tc>
          <w:tcPr>
            <w:tcW w:type="dxa" w:w="7574"/>
            <w:vAlign w:val="center"/>
            <w:tcMar>
              <w:top w:w="100" w:type="dxa"/>
              <w:bottom w:w="100" w:type="dxa"/>
              <w:left w:w="100" w:type="dxa"/>
              <w:right w:w="100" w:type="dxa"/>
            </w:tcMar>
          </w:tcPr>
          <w:p>
            <w:pPr>
              <w:spacing w:after="60" w:line="252" w:lineRule="auto"/>
            </w:pPr>
            <w:r>
              <w:rPr>
                <w:b w:val="0"/>
                <w:sz w:val="20"/>
              </w:rPr>
              <w:t>Individualisierte Chronologie; Normfassung; Zeitfenster; genaue gerichtliche Beanstandungen. Bei Projekt 51 zusätzlich tragfähige Herleitung und Abgrenzung des neuen Rechtsverhältnisses.</w:t>
            </w:r>
          </w:p>
        </w:tc>
      </w:tr>
      <w:tr>
        <w:tc>
          <w:tcPr>
            <w:tcW w:type="dxa" w:w="2304"/>
            <w:vAlign w:val="center"/>
            <w:tcMar>
              <w:top w:w="100" w:type="dxa"/>
              <w:bottom w:w="100" w:type="dxa"/>
              <w:left w:w="100" w:type="dxa"/>
              <w:right w:w="100" w:type="dxa"/>
            </w:tcMar>
          </w:tcPr>
          <w:p>
            <w:pPr>
              <w:spacing w:after="60" w:line="252" w:lineRule="auto"/>
            </w:pPr>
            <w:r>
              <w:rPr>
                <w:b w:val="0"/>
                <w:sz w:val="20"/>
              </w:rPr>
              <w:t>2 | Programmbefunde</w:t>
            </w:r>
          </w:p>
        </w:tc>
        <w:tc>
          <w:tcPr>
            <w:tcW w:type="dxa" w:w="7574"/>
            <w:vAlign w:val="center"/>
            <w:tcMar>
              <w:top w:w="100" w:type="dxa"/>
              <w:bottom w:w="100" w:type="dxa"/>
              <w:left w:w="100" w:type="dxa"/>
              <w:right w:w="100" w:type="dxa"/>
            </w:tcMar>
          </w:tcPr>
          <w:p>
            <w:pPr>
              <w:spacing w:after="60" w:line="252" w:lineRule="auto"/>
            </w:pPr>
            <w:r>
              <w:rPr>
                <w:b w:val="0"/>
                <w:sz w:val="20"/>
              </w:rPr>
              <w:t>Quellenbezogene Dossiers mit Ergebnissen, Originalstellen, Methoden, zeitlicher Reichweite und begründetem Zusammenhang. Keine Gleichsetzung bloßer Themenlisten mit belegten Mustern.</w:t>
            </w:r>
          </w:p>
        </w:tc>
      </w:tr>
      <w:tr>
        <w:tc>
          <w:tcPr>
            <w:tcW w:type="dxa" w:w="2304"/>
            <w:vAlign w:val="center"/>
            <w:tcMar>
              <w:top w:w="100" w:type="dxa"/>
              <w:bottom w:w="100" w:type="dxa"/>
              <w:left w:w="100" w:type="dxa"/>
              <w:right w:w="100" w:type="dxa"/>
            </w:tcMar>
          </w:tcPr>
          <w:p>
            <w:pPr>
              <w:spacing w:after="60" w:line="252" w:lineRule="auto"/>
            </w:pPr>
            <w:r>
              <w:rPr>
                <w:b w:val="0"/>
                <w:sz w:val="20"/>
              </w:rPr>
              <w:t>3 | Beschwerden und Kontrolle</w:t>
            </w:r>
          </w:p>
        </w:tc>
        <w:tc>
          <w:tcPr>
            <w:tcW w:type="dxa" w:w="7574"/>
            <w:vAlign w:val="center"/>
            <w:tcMar>
              <w:top w:w="100" w:type="dxa"/>
              <w:bottom w:w="100" w:type="dxa"/>
              <w:left w:w="100" w:type="dxa"/>
              <w:right w:w="100" w:type="dxa"/>
            </w:tcMar>
          </w:tcPr>
          <w:p>
            <w:pPr>
              <w:spacing w:after="60" w:line="252" w:lineRule="auto"/>
            </w:pPr>
            <w:r>
              <w:rPr>
                <w:b w:val="0"/>
                <w:sz w:val="20"/>
              </w:rPr>
              <w:t>Technisch nachgeprüfter Export, für Anstalt und Zeitraum geeignete Teilmengen, konkrete Beschwerdeketten, differenzierte Ergebnisse und positive Kontrollfälle.</w:t>
            </w:r>
          </w:p>
        </w:tc>
      </w:tr>
      <w:tr>
        <w:tc>
          <w:tcPr>
            <w:tcW w:type="dxa" w:w="2304"/>
            <w:vAlign w:val="center"/>
            <w:tcMar>
              <w:top w:w="100" w:type="dxa"/>
              <w:bottom w:w="100" w:type="dxa"/>
              <w:left w:w="100" w:type="dxa"/>
              <w:right w:w="100" w:type="dxa"/>
            </w:tcMar>
          </w:tcPr>
          <w:p>
            <w:pPr>
              <w:spacing w:after="60" w:line="252" w:lineRule="auto"/>
            </w:pPr>
            <w:r>
              <w:rPr>
                <w:b w:val="0"/>
                <w:sz w:val="20"/>
              </w:rPr>
              <w:t>4 | Erkenntniszugang und Beweis</w:t>
            </w:r>
          </w:p>
        </w:tc>
        <w:tc>
          <w:tcPr>
            <w:tcW w:type="dxa" w:w="7574"/>
            <w:vAlign w:val="center"/>
            <w:tcMar>
              <w:top w:w="100" w:type="dxa"/>
              <w:bottom w:w="100" w:type="dxa"/>
              <w:left w:w="100" w:type="dxa"/>
              <w:right w:w="100" w:type="dxa"/>
            </w:tcMar>
          </w:tcPr>
          <w:p>
            <w:pPr>
              <w:spacing w:after="60" w:line="252" w:lineRule="auto"/>
            </w:pPr>
            <w:r>
              <w:rPr>
                <w:b w:val="0"/>
                <w:sz w:val="20"/>
              </w:rPr>
              <w:t>Ausgeführte rechtliche Ableitung, dokumentierte Restlücken, bereits erprobte Alternativen und bestimmte, auf den Streit bezogene Aufklärungsbegehren.</w:t>
            </w:r>
          </w:p>
        </w:tc>
      </w:tr>
    </w:tbl>
    <w:p/>
    <w:p>
      <w:r>
        <w:t>Für jeden zentralen Schluss muss sich die Kette nachvollziehen lassen: Tatsachenbehauptung - genaue Quelle - Untersuchungsmethode - Aussagegrenze - Einordnung in den relevanten Zeitraum - rechtliche Bedeutung - konkret geeignetes Beweismittel. Nicht alle Elemente müssen in jedem Absatz wiederholt werden; eindeutige Binnenverweise können Doppelungen vermeiden.</w:t>
      </w:r>
    </w:p>
    <w:p>
      <w:r>
        <w:t>Das Quellenarchiv bleibt nützlich, ersetzt aber nicht den Vortrag und die angemessene Einführung der entscheidungserheblichen Unterlagen in das jeweilige Verfahren. § 86 Abs. 5 VwGO regelt die Beifügung von Urkunden beziehungsweise Auszügen und die Behandlung bekannter oder umfangreicher Unterlagen. Ein allgemeiner Link auf eine umfangreiche Bibliothek erfüllt nicht dieselbe Funktion wie ein genau zugeordneter Beleg. [R3]</w:t>
      </w:r>
    </w:p>
    <w:p>
      <w:r>
        <w:t>Fazit: Erforderlich ist eine substantiellere Langfassung ohne unnötige Wiederholungen. Der Umfang soll aus den erforderlichen Darlegungsschritten entstehen. Eine feste Zielzahl von Seiten oder die bloße Rückkehr zum Originalumfang wäre keine Qualitätssicherung. Dieser Vermerk ändert keine laufende gerichtliche Frist und ist kein Ersatz für einen fristwahrenden Schriftsatz.</w:t>
      </w:r>
    </w:p>
    <w:p>
      <w:r>
        <w:br w:type="page"/>
      </w:r>
    </w:p>
    <w:p>
      <w:pPr>
        <w:pStyle w:val="Heading1"/>
      </w:pPr>
      <w:r>
        <w:t>Nachweise und Arbeitsgrundlagen</w:t>
      </w:r>
    </w:p>
    <w:p>
      <w:pPr>
        <w:spacing w:after="120"/>
      </w:pPr>
      <w:r>
        <w:rPr>
          <w:sz w:val="19"/>
        </w:rPr>
        <w:t>[D1] V-Gutachten, Version 1.3, Stand laut Dokument 06.06.2026; Originaldatei 2026_06_02 Das VGutachten Version 1.3.docx. Insbesondere Vorblatt, Kap. 9-14 und 17-20.</w:t>
      </w:r>
    </w:p>
    <w:p>
      <w:pPr>
        <w:spacing w:after="120"/>
      </w:pPr>
      <w:r>
        <w:rPr>
          <w:sz w:val="19"/>
        </w:rPr>
        <w:t>[D2] Gutachten Rundfunkalarm - Programmbeschwerden und Gremienkontrolle, gerichtliche Fassung 27.06.2026; insbesondere B-F, H, J-K, L und N.</w:t>
      </w:r>
    </w:p>
    <w:p>
      <w:pPr>
        <w:spacing w:after="120"/>
      </w:pPr>
      <w:r>
        <w:rPr>
          <w:sz w:val="19"/>
        </w:rPr>
        <w:t>[D3] Kurzgutachten zur gerichtlichen Kontrolle des gesetzlichen Funktionsauftrags, 16.07.2026, insbesondere A III, D und F.</w:t>
      </w:r>
    </w:p>
    <w:p>
      <w:pPr>
        <w:spacing w:after="120"/>
      </w:pPr>
      <w:r>
        <w:rPr>
          <w:sz w:val="19"/>
        </w:rPr>
        <w:t>[D4] Gutachten_Rundfunkalarm_Programmbeschwerden_gerichtsfassung_2026-09-13.docx, 37 Seiten. Neu in der Library gefunden; externe Bezugnahmen nicht allein durch diesen Fund bestätigt.</w:t>
      </w:r>
    </w:p>
    <w:p>
      <w:pPr>
        <w:spacing w:after="120"/>
      </w:pPr>
      <w:r>
        <w:rPr>
          <w:sz w:val="19"/>
        </w:rPr>
        <w:t>[V4] Beitragsstopper_Modulklage_v4: Abschnitte 02_Programmbefunde, 03_Beschwerden_und_Gremien, 04_Erkenntniszugang_und_Beweisfuehrung; A- und F-Gesamtfassung, jeweils 04.10.2026.</w:t>
      </w:r>
    </w:p>
    <w:p>
      <w:pPr>
        <w:spacing w:after="120"/>
      </w:pPr>
      <w:r>
        <w:rPr>
          <w:sz w:val="19"/>
        </w:rPr>
        <w:t>[Daten] rundfunkalarm_beschwerden_2026-06-22 (1).csv; unveränderter Export. Eigene technische Prüfung 04.10.2026, Ergebnisdatei csv_pruefung.json; keine Inhaltsvalidierung der Vorwürfe.</w:t>
      </w:r>
    </w:p>
    <w:p>
      <w:pPr>
        <w:spacing w:after="120"/>
      </w:pPr>
      <w:r>
        <w:rPr>
          <w:sz w:val="19"/>
        </w:rPr>
        <w:t>[R1] BVerwG, Urteil vom 15.10.2025 - 6 C 5.24, insbesondere Rn. 40-50. https://www.bverwg.de/151025U6C5.24.0</w:t>
      </w:r>
    </w:p>
    <w:p>
      <w:pPr>
        <w:spacing w:after="120"/>
      </w:pPr>
      <w:r>
        <w:rPr>
          <w:sz w:val="19"/>
        </w:rPr>
        <w:t>[R2] BVerwG, Beschluss vom 15.01.2025 - 2 B 36.24, Rn. 23-24. https://www.bverwg.de/150125B2B36.24.0</w:t>
      </w:r>
    </w:p>
    <w:p>
      <w:pPr>
        <w:spacing w:after="120"/>
      </w:pPr>
      <w:r>
        <w:rPr>
          <w:sz w:val="19"/>
        </w:rPr>
        <w:t>[R3] § 86 VwGO, insbesondere Abs. 1-3 und 5. https://www.gesetze-im-internet.de/vwgo/__86.html</w:t>
      </w:r>
    </w:p>
    <w:p>
      <w:pPr>
        <w:spacing w:after="120"/>
      </w:pPr>
      <w:r>
        <w:rPr>
          <w:sz w:val="19"/>
        </w:rPr>
        <w:t>[R4] § 82 VwGO. https://www.gesetze-im-internet.de/vwgo/__82.html</w:t>
      </w:r>
    </w:p>
    <w:p>
      <w:pPr>
        <w:spacing w:after="120"/>
      </w:pPr>
      <w:r>
        <w:rPr>
          <w:sz w:val="19"/>
        </w:rPr>
        <w:t>[R5] VGH Baden-Württemberg, Urteil vom 14.04.2026 - 2 S 2529/25, insbesondere S. 30-32 und Tenor. Amtliche Urteils-PDF auf der Website des VGH, Dateiname 2s2529.25u.pdf.</w:t>
      </w:r>
    </w:p>
    <w:p>
      <w:pPr>
        <w:spacing w:after="120"/>
      </w:pPr>
      <w:r>
        <w:rPr>
          <w:sz w:val="19"/>
        </w:rPr>
        <w:t>[R6] § 43 VwGO. https://www.gesetze-im-internet.de/vwgo/__43.html</w:t>
      </w:r>
    </w:p>
    <w:sectPr w:rsidR="00FC693F" w:rsidRPr="0006063C" w:rsidSect="00034616">
      <w:headerReference w:type="default" r:id="rId9"/>
      <w:footerReference w:type="default" r:id="rId10"/>
      <w:pgSz w:w="12240" w:h="15840"/>
      <w:pgMar w:top="1080" w:right="1181" w:bottom="1080" w:left="1181"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Stand 04.10.2026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656F"/>
        <w:sz w:val="16"/>
      </w:rPr>
      <w:t>BEITRAGSSTOPPER | QUALITÄTSPRÜFUNG V4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21384A"/>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21384A"/>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2138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color w:val="21384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Pruefvermerk zur Substantiierung der modularen Klagefassung 4</dc:title>
  <dc:subject>Quellenabgleich, konkrete Luecken und technische CSV-Nachpruefung</dc:subject>
  <dc:creator/>
  <cp:keywords/>
  <dc:description>Arbeitsvermerk; keine neue Klagefassung.</dc:description>
  <cp:lastModifiedBy/>
  <cp:revision>1</cp:revision>
  <dcterms:created xsi:type="dcterms:W3CDTF">2013-12-23T23:15:00Z</dcterms:created>
  <dcterms:modified xsi:type="dcterms:W3CDTF">2013-12-23T23:15:00Z</dcterms:modified>
  <cp:category/>
</cp:coreProperties>
</file>