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K01 | 3.0 | 03.10.2026</w:t>
      </w:r>
    </w:p>
    <w:p>
      <w:pPr>
        <w:pStyle w:val="Title"/>
      </w:pPr>
      <w:r>
        <w:t>Prozesskosten: Werte, Gebühren und Risiken</w:t>
      </w:r>
    </w:p>
    <w:p>
      <w:pPr>
        <w:pStyle w:val="Subtitle"/>
      </w:pPr>
      <w:r>
        <w:t>Interne Rechenhilfe und Nutzerinformation | Keine individuelle Kostenfestsetzung</w:t>
      </w:r>
    </w:p>
    <w:p>
      <w:pPr>
        <w:pStyle w:val="Heading1"/>
      </w:pPr>
      <w:r>
        <w:t>1. Die wesentliche Korrektur</w:t>
      </w:r>
    </w:p>
    <w:p>
      <w:r>
        <w:t>114 Euro sind kein vollständiges Prozesskostenrisiko. Selbst als historische Gerichtskostenangabe betraf diese Zahl nur eine bestimmte Gebührenstufe. Hinzukommen können insbesondere gegnerische erstattungsfähige Anwaltskosten, eigene Anwaltskosten und Auslagen einer Beweisaufnahme. Der Preis einer Plattformleistung ist eine davon getrennte Position. Aussagen zu Kosten müssen den tatsächlichen Verfahrensweg und die geltende Gebührenfassung nennen. [R03, §§ 154, 162; N06-N09]</w:t>
      </w:r>
    </w:p>
    <w:p>
      <w:r>
        <w:t>Ein Streitwert von 5.000 oder 10.000 Euro ist nicht selbst eine Rechnung in dieser Höhe. Er ist eine Berechnungsgrundlage. Für eine auf einen bezifferten Beitragsbescheid begrenzte Anfechtung ist grundsätzlich die besondere Geldleistungsregel des § 52 Abs. 3 GKG maßgeblich; bei nicht ausreichend bestimmbarer Bedeutung sieht § 52 Abs. 2 GKG einen Auffangwert vor. Zusätzliche selbständige Ansprüche und gesetzlich relevante zukünftige Auswirkungen sind gesondert zu prüfen. [R04]</w:t>
      </w:r>
    </w:p>
    <w:p>
      <w:pPr>
        <w:pStyle w:val="Heading1"/>
      </w:pPr>
      <w:r>
        <w:t>2. Rechenbeispiele für einen ersten Rechtszug</w:t>
      </w:r>
    </w:p>
    <w:p>
      <w:r>
        <w:t>Annahmen: geltende neue Gebührentabelle, vollständiges Unterliegen, allgemeines erstinstanzliches VG-Verfahren mit 3,0 Gerichtsgebühren; je Anwalt 1,3 Verfahrensgebühr und 1,2 Terminsgebühr, 20 Euro Post-/Telekommunikationspauschale und 19 Prozent Umsatzsteuer. Die Umsatzsteuer ist bei der Erstattung nur anzusetzen, soweit sie erstattungsfähig ist. Keine Einigungsgebühr, kein Vorverfahren, keine Reise-, Kopier-, Sachverständigen- oder sonstigen Auslagen. Keine vereinbarte höhere eigene Vergütung. Tatsächliche Mandats- und Verfahrensdaten können wegen Übergangsrecht andere Tabellen verlangen. [N06-N09]</w:t>
      </w:r>
    </w:p>
    <w:tbl>
      <w:tblPr>
        <w:tblW w:type="auto" w:w="0"/>
        <w:jc w:val="center"/>
        <w:tblLayout w:type="fixed"/>
        <w:tblLook w:firstColumn="1" w:firstRow="1" w:lastColumn="0" w:lastRow="0" w:noHBand="0" w:noVBand="1" w:val="04A0"/>
      </w:tblPr>
      <w:tblGrid>
        <w:gridCol w:w="1361"/>
        <w:gridCol w:w="1417"/>
        <w:gridCol w:w="1474"/>
        <w:gridCol w:w="2466"/>
        <w:gridCol w:w="2466"/>
      </w:tblGrid>
      <w:tr>
        <w:trPr>
          <w:tblHeader/>
          <w:tblHeader/>
        </w:trPr>
        <w:tc>
          <w:tcPr>
            <w:tcW w:type="dxa" w:w="1860"/>
            <w:vAlign w:val="center"/>
            <w:tcMar>
              <w:top w:w="85" w:type="dxa"/>
              <w:bottom w:w="85" w:type="dxa"/>
              <w:left w:w="85" w:type="dxa"/>
              <w:right w:w="85" w:type="dxa"/>
            </w:tcMar>
            <w:shd w:fill="EDF1F4"/>
            <w:tcMar>
              <w:top w:w="85" w:type="dxa"/>
              <w:bottom w:w="85" w:type="dxa"/>
              <w:left w:w="85" w:type="dxa"/>
              <w:right w:w="85" w:type="dxa"/>
            </w:tcMar>
            <w:shd w:fill="EDF1F4"/>
          </w:tcPr>
          <w:p>
            <w:pPr>
              <w:spacing w:after="80" w:before="60" w:line="259" w:lineRule="auto"/>
            </w:pPr>
            <w:r>
              <w:rPr>
                <w:b/>
                <w:sz w:val="20"/>
              </w:rPr>
              <w:t>Streitwert</w:t>
            </w:r>
          </w:p>
        </w:tc>
        <w:tc>
          <w:tcPr>
            <w:tcW w:type="dxa" w:w="1860"/>
            <w:vAlign w:val="center"/>
            <w:tcMar>
              <w:top w:w="85" w:type="dxa"/>
              <w:bottom w:w="85" w:type="dxa"/>
              <w:left w:w="85" w:type="dxa"/>
              <w:right w:w="85" w:type="dxa"/>
            </w:tcMar>
            <w:shd w:fill="EDF1F4"/>
            <w:tcMar>
              <w:top w:w="85" w:type="dxa"/>
              <w:bottom w:w="85" w:type="dxa"/>
              <w:left w:w="85" w:type="dxa"/>
              <w:right w:w="85" w:type="dxa"/>
            </w:tcMar>
            <w:shd w:fill="EDF1F4"/>
          </w:tcPr>
          <w:p>
            <w:pPr>
              <w:spacing w:after="80" w:before="60" w:line="259" w:lineRule="auto"/>
            </w:pPr>
            <w:r>
              <w:rPr>
                <w:b/>
                <w:sz w:val="20"/>
              </w:rPr>
              <w:t>Gericht</w:t>
            </w:r>
          </w:p>
        </w:tc>
        <w:tc>
          <w:tcPr>
            <w:tcW w:type="dxa" w:w="1860"/>
            <w:vAlign w:val="center"/>
            <w:tcMar>
              <w:top w:w="85" w:type="dxa"/>
              <w:bottom w:w="85" w:type="dxa"/>
              <w:left w:w="85" w:type="dxa"/>
              <w:right w:w="85" w:type="dxa"/>
            </w:tcMar>
            <w:shd w:fill="EDF1F4"/>
            <w:tcMar>
              <w:top w:w="85" w:type="dxa"/>
              <w:bottom w:w="85" w:type="dxa"/>
              <w:left w:w="85" w:type="dxa"/>
              <w:right w:w="85" w:type="dxa"/>
            </w:tcMar>
            <w:shd w:fill="EDF1F4"/>
          </w:tcPr>
          <w:p>
            <w:pPr>
              <w:spacing w:after="80" w:before="60" w:line="259" w:lineRule="auto"/>
            </w:pPr>
            <w:r>
              <w:rPr>
                <w:b/>
                <w:sz w:val="20"/>
              </w:rPr>
              <w:t>Ein Anwalt</w:t>
            </w:r>
          </w:p>
        </w:tc>
        <w:tc>
          <w:tcPr>
            <w:tcW w:type="dxa" w:w="1860"/>
            <w:vAlign w:val="center"/>
            <w:tcMar>
              <w:top w:w="85" w:type="dxa"/>
              <w:bottom w:w="85" w:type="dxa"/>
              <w:left w:w="85" w:type="dxa"/>
              <w:right w:w="85" w:type="dxa"/>
            </w:tcMar>
            <w:shd w:fill="EDF1F4"/>
            <w:tcMar>
              <w:top w:w="85" w:type="dxa"/>
              <w:bottom w:w="85" w:type="dxa"/>
              <w:left w:w="85" w:type="dxa"/>
              <w:right w:w="85" w:type="dxa"/>
            </w:tcMar>
            <w:shd w:fill="EDF1F4"/>
          </w:tcPr>
          <w:p>
            <w:pPr>
              <w:spacing w:after="80" w:before="60" w:line="259" w:lineRule="auto"/>
            </w:pPr>
            <w:r>
              <w:rPr>
                <w:b/>
                <w:sz w:val="20"/>
              </w:rPr>
              <w:t>Ohne eigenen Anwalt: Gericht + Gegenseite</w:t>
            </w:r>
          </w:p>
        </w:tc>
        <w:tc>
          <w:tcPr>
            <w:tcW w:type="dxa" w:w="1860"/>
            <w:vAlign w:val="center"/>
            <w:tcMar>
              <w:top w:w="85" w:type="dxa"/>
              <w:bottom w:w="85" w:type="dxa"/>
              <w:left w:w="85" w:type="dxa"/>
              <w:right w:w="85" w:type="dxa"/>
            </w:tcMar>
            <w:shd w:fill="EDF1F4"/>
            <w:tcMar>
              <w:top w:w="85" w:type="dxa"/>
              <w:bottom w:w="85" w:type="dxa"/>
              <w:left w:w="85" w:type="dxa"/>
              <w:right w:w="85" w:type="dxa"/>
            </w:tcMar>
            <w:shd w:fill="EDF1F4"/>
          </w:tcPr>
          <w:p>
            <w:pPr>
              <w:spacing w:after="80" w:before="60" w:line="259" w:lineRule="auto"/>
            </w:pPr>
            <w:r>
              <w:rPr>
                <w:b/>
                <w:sz w:val="20"/>
              </w:rPr>
              <w:t>Mit eigenem Anwalt: Gericht + beide Seiten</w:t>
            </w:r>
          </w:p>
        </w:tc>
      </w:tr>
      <w:tr>
        <w:trPr/>
        <w:tc>
          <w:tcPr>
            <w:tcW w:type="dxa" w:w="1361"/>
            <w:vAlign w:val="center"/>
            <w:tcMar>
              <w:top w:w="85" w:type="dxa"/>
              <w:bottom w:w="85" w:type="dxa"/>
              <w:left w:w="85" w:type="dxa"/>
              <w:right w:w="85" w:type="dxa"/>
            </w:tcMar>
            <w:tcMar>
              <w:top w:w="85" w:type="dxa"/>
              <w:bottom w:w="85" w:type="dxa"/>
              <w:left w:w="85" w:type="dxa"/>
              <w:right w:w="85" w:type="dxa"/>
            </w:tcMar>
          </w:tcPr>
          <w:p>
            <w:pPr>
              <w:spacing w:after="80" w:before="60" w:line="259" w:lineRule="auto"/>
            </w:pPr>
            <w:r>
              <w:rPr>
                <w:b w:val="0"/>
                <w:sz w:val="20"/>
              </w:rPr>
              <w:t>500,00 EUR</w:t>
            </w:r>
          </w:p>
        </w:tc>
        <w:tc>
          <w:tcPr>
            <w:tcW w:type="dxa" w:w="1417"/>
            <w:vAlign w:val="center"/>
            <w:tcMar>
              <w:top w:w="85" w:type="dxa"/>
              <w:bottom w:w="85" w:type="dxa"/>
              <w:left w:w="85" w:type="dxa"/>
              <w:right w:w="85" w:type="dxa"/>
            </w:tcMar>
            <w:tcMar>
              <w:top w:w="85" w:type="dxa"/>
              <w:bottom w:w="85" w:type="dxa"/>
              <w:left w:w="85" w:type="dxa"/>
              <w:right w:w="85" w:type="dxa"/>
            </w:tcMar>
          </w:tcPr>
          <w:p>
            <w:pPr>
              <w:spacing w:after="80" w:before="60" w:line="259" w:lineRule="auto"/>
            </w:pPr>
            <w:r>
              <w:rPr>
                <w:b w:val="0"/>
                <w:sz w:val="20"/>
              </w:rPr>
              <w:t>120,00 EUR</w:t>
            </w:r>
          </w:p>
        </w:tc>
        <w:tc>
          <w:tcPr>
            <w:tcW w:type="dxa" w:w="1474"/>
            <w:vAlign w:val="center"/>
            <w:tcMar>
              <w:top w:w="85" w:type="dxa"/>
              <w:bottom w:w="85" w:type="dxa"/>
              <w:left w:w="85" w:type="dxa"/>
              <w:right w:w="85" w:type="dxa"/>
            </w:tcMar>
            <w:tcMar>
              <w:top w:w="85" w:type="dxa"/>
              <w:bottom w:w="85" w:type="dxa"/>
              <w:left w:w="85" w:type="dxa"/>
              <w:right w:w="85" w:type="dxa"/>
            </w:tcMar>
          </w:tcPr>
          <w:p>
            <w:pPr>
              <w:spacing w:after="80" w:before="60" w:line="259" w:lineRule="auto"/>
            </w:pPr>
            <w:r>
              <w:rPr>
                <w:b w:val="0"/>
                <w:sz w:val="20"/>
              </w:rPr>
              <w:t>177,01 EUR</w:t>
            </w:r>
          </w:p>
        </w:tc>
        <w:tc>
          <w:tcPr>
            <w:tcW w:type="dxa" w:w="2466"/>
            <w:vAlign w:val="center"/>
            <w:tcMar>
              <w:top w:w="85" w:type="dxa"/>
              <w:bottom w:w="85" w:type="dxa"/>
              <w:left w:w="85" w:type="dxa"/>
              <w:right w:w="85" w:type="dxa"/>
            </w:tcMar>
            <w:tcMar>
              <w:top w:w="85" w:type="dxa"/>
              <w:bottom w:w="85" w:type="dxa"/>
              <w:left w:w="85" w:type="dxa"/>
              <w:right w:w="85" w:type="dxa"/>
            </w:tcMar>
          </w:tcPr>
          <w:p>
            <w:pPr>
              <w:spacing w:after="80" w:before="60" w:line="259" w:lineRule="auto"/>
            </w:pPr>
            <w:r>
              <w:rPr>
                <w:b w:val="0"/>
                <w:sz w:val="20"/>
              </w:rPr>
              <w:t>297,01 EUR</w:t>
            </w:r>
          </w:p>
        </w:tc>
        <w:tc>
          <w:tcPr>
            <w:tcW w:type="dxa" w:w="2466"/>
            <w:vAlign w:val="center"/>
            <w:tcMar>
              <w:top w:w="85" w:type="dxa"/>
              <w:bottom w:w="85" w:type="dxa"/>
              <w:left w:w="85" w:type="dxa"/>
              <w:right w:w="85" w:type="dxa"/>
            </w:tcMar>
            <w:tcMar>
              <w:top w:w="85" w:type="dxa"/>
              <w:bottom w:w="85" w:type="dxa"/>
              <w:left w:w="85" w:type="dxa"/>
              <w:right w:w="85" w:type="dxa"/>
            </w:tcMar>
          </w:tcPr>
          <w:p>
            <w:pPr>
              <w:spacing w:after="80" w:before="60" w:line="259" w:lineRule="auto"/>
            </w:pPr>
            <w:r>
              <w:rPr>
                <w:b w:val="0"/>
                <w:sz w:val="20"/>
              </w:rPr>
              <w:t>474,02 EUR</w:t>
            </w:r>
          </w:p>
        </w:tc>
      </w:tr>
      <w:tr>
        <w:trPr/>
        <w:tc>
          <w:tcPr>
            <w:tcW w:type="dxa" w:w="1361"/>
            <w:vAlign w:val="center"/>
            <w:tcMar>
              <w:top w:w="85" w:type="dxa"/>
              <w:bottom w:w="85" w:type="dxa"/>
              <w:left w:w="85" w:type="dxa"/>
              <w:right w:w="85" w:type="dxa"/>
            </w:tcMar>
            <w:tcMar>
              <w:top w:w="85" w:type="dxa"/>
              <w:bottom w:w="85" w:type="dxa"/>
              <w:left w:w="85" w:type="dxa"/>
              <w:right w:w="85" w:type="dxa"/>
            </w:tcMar>
          </w:tcPr>
          <w:p>
            <w:pPr>
              <w:spacing w:after="80" w:before="60" w:line="259" w:lineRule="auto"/>
            </w:pPr>
            <w:r>
              <w:rPr>
                <w:b w:val="0"/>
                <w:sz w:val="20"/>
              </w:rPr>
              <w:t>5.000,00 EUR</w:t>
            </w:r>
          </w:p>
        </w:tc>
        <w:tc>
          <w:tcPr>
            <w:tcW w:type="dxa" w:w="1417"/>
            <w:vAlign w:val="center"/>
            <w:tcMar>
              <w:top w:w="85" w:type="dxa"/>
              <w:bottom w:w="85" w:type="dxa"/>
              <w:left w:w="85" w:type="dxa"/>
              <w:right w:w="85" w:type="dxa"/>
            </w:tcMar>
            <w:tcMar>
              <w:top w:w="85" w:type="dxa"/>
              <w:bottom w:w="85" w:type="dxa"/>
              <w:left w:w="85" w:type="dxa"/>
              <w:right w:w="85" w:type="dxa"/>
            </w:tcMar>
          </w:tcPr>
          <w:p>
            <w:pPr>
              <w:spacing w:after="80" w:before="60" w:line="259" w:lineRule="auto"/>
            </w:pPr>
            <w:r>
              <w:rPr>
                <w:b w:val="0"/>
                <w:sz w:val="20"/>
              </w:rPr>
              <w:t>511,50 EUR</w:t>
            </w:r>
          </w:p>
        </w:tc>
        <w:tc>
          <w:tcPr>
            <w:tcW w:type="dxa" w:w="1474"/>
            <w:vAlign w:val="center"/>
            <w:tcMar>
              <w:top w:w="85" w:type="dxa"/>
              <w:bottom w:w="85" w:type="dxa"/>
              <w:left w:w="85" w:type="dxa"/>
              <w:right w:w="85" w:type="dxa"/>
            </w:tcMar>
            <w:tcMar>
              <w:top w:w="85" w:type="dxa"/>
              <w:bottom w:w="85" w:type="dxa"/>
              <w:left w:w="85" w:type="dxa"/>
              <w:right w:w="85" w:type="dxa"/>
            </w:tcMar>
          </w:tcPr>
          <w:p>
            <w:pPr>
              <w:spacing w:after="80" w:before="60" w:line="259" w:lineRule="auto"/>
            </w:pPr>
            <w:r>
              <w:rPr>
                <w:b w:val="0"/>
                <w:sz w:val="20"/>
              </w:rPr>
              <w:t>1.078,44 EUR</w:t>
            </w:r>
          </w:p>
        </w:tc>
        <w:tc>
          <w:tcPr>
            <w:tcW w:type="dxa" w:w="2466"/>
            <w:vAlign w:val="center"/>
            <w:tcMar>
              <w:top w:w="85" w:type="dxa"/>
              <w:bottom w:w="85" w:type="dxa"/>
              <w:left w:w="85" w:type="dxa"/>
              <w:right w:w="85" w:type="dxa"/>
            </w:tcMar>
            <w:tcMar>
              <w:top w:w="85" w:type="dxa"/>
              <w:bottom w:w="85" w:type="dxa"/>
              <w:left w:w="85" w:type="dxa"/>
              <w:right w:w="85" w:type="dxa"/>
            </w:tcMar>
          </w:tcPr>
          <w:p>
            <w:pPr>
              <w:spacing w:after="80" w:before="60" w:line="259" w:lineRule="auto"/>
            </w:pPr>
            <w:r>
              <w:rPr>
                <w:b w:val="0"/>
                <w:sz w:val="20"/>
              </w:rPr>
              <w:t>1.589,94 EUR</w:t>
            </w:r>
          </w:p>
        </w:tc>
        <w:tc>
          <w:tcPr>
            <w:tcW w:type="dxa" w:w="2466"/>
            <w:vAlign w:val="center"/>
            <w:tcMar>
              <w:top w:w="85" w:type="dxa"/>
              <w:bottom w:w="85" w:type="dxa"/>
              <w:left w:w="85" w:type="dxa"/>
              <w:right w:w="85" w:type="dxa"/>
            </w:tcMar>
            <w:tcMar>
              <w:top w:w="85" w:type="dxa"/>
              <w:bottom w:w="85" w:type="dxa"/>
              <w:left w:w="85" w:type="dxa"/>
              <w:right w:w="85" w:type="dxa"/>
            </w:tcMar>
          </w:tcPr>
          <w:p>
            <w:pPr>
              <w:spacing w:after="80" w:before="60" w:line="259" w:lineRule="auto"/>
            </w:pPr>
            <w:r>
              <w:rPr>
                <w:b w:val="0"/>
                <w:sz w:val="20"/>
              </w:rPr>
              <w:t>2.668,38 EUR</w:t>
            </w:r>
          </w:p>
        </w:tc>
      </w:tr>
      <w:tr>
        <w:trPr/>
        <w:tc>
          <w:tcPr>
            <w:tcW w:type="dxa" w:w="1361"/>
            <w:vAlign w:val="center"/>
            <w:tcMar>
              <w:top w:w="85" w:type="dxa"/>
              <w:bottom w:w="85" w:type="dxa"/>
              <w:left w:w="85" w:type="dxa"/>
              <w:right w:w="85" w:type="dxa"/>
            </w:tcMar>
            <w:tcMar>
              <w:top w:w="85" w:type="dxa"/>
              <w:bottom w:w="85" w:type="dxa"/>
              <w:left w:w="85" w:type="dxa"/>
              <w:right w:w="85" w:type="dxa"/>
            </w:tcMar>
          </w:tcPr>
          <w:p>
            <w:pPr>
              <w:spacing w:after="80" w:before="60" w:line="259" w:lineRule="auto"/>
            </w:pPr>
            <w:r>
              <w:rPr>
                <w:b w:val="0"/>
                <w:sz w:val="20"/>
              </w:rPr>
              <w:t>10.000,00 EUR</w:t>
            </w:r>
          </w:p>
        </w:tc>
        <w:tc>
          <w:tcPr>
            <w:tcW w:type="dxa" w:w="1417"/>
            <w:vAlign w:val="center"/>
            <w:tcMar>
              <w:top w:w="85" w:type="dxa"/>
              <w:bottom w:w="85" w:type="dxa"/>
              <w:left w:w="85" w:type="dxa"/>
              <w:right w:w="85" w:type="dxa"/>
            </w:tcMar>
            <w:tcMar>
              <w:top w:w="85" w:type="dxa"/>
              <w:bottom w:w="85" w:type="dxa"/>
              <w:left w:w="85" w:type="dxa"/>
              <w:right w:w="85" w:type="dxa"/>
            </w:tcMar>
          </w:tcPr>
          <w:p>
            <w:pPr>
              <w:spacing w:after="80" w:before="60" w:line="259" w:lineRule="auto"/>
            </w:pPr>
            <w:r>
              <w:rPr>
                <w:b w:val="0"/>
                <w:sz w:val="20"/>
              </w:rPr>
              <w:t>849,00 EUR</w:t>
            </w:r>
          </w:p>
        </w:tc>
        <w:tc>
          <w:tcPr>
            <w:tcW w:type="dxa" w:w="1474"/>
            <w:vAlign w:val="center"/>
            <w:tcMar>
              <w:top w:w="85" w:type="dxa"/>
              <w:bottom w:w="85" w:type="dxa"/>
              <w:left w:w="85" w:type="dxa"/>
              <w:right w:w="85" w:type="dxa"/>
            </w:tcMar>
            <w:tcMar>
              <w:top w:w="85" w:type="dxa"/>
              <w:bottom w:w="85" w:type="dxa"/>
              <w:left w:w="85" w:type="dxa"/>
              <w:right w:w="85" w:type="dxa"/>
            </w:tcMar>
          </w:tcPr>
          <w:p>
            <w:pPr>
              <w:spacing w:after="80" w:before="60" w:line="259" w:lineRule="auto"/>
            </w:pPr>
            <w:r>
              <w:rPr>
                <w:b w:val="0"/>
                <w:sz w:val="20"/>
              </w:rPr>
              <w:t>1.963,50 EUR</w:t>
            </w:r>
          </w:p>
        </w:tc>
        <w:tc>
          <w:tcPr>
            <w:tcW w:type="dxa" w:w="2466"/>
            <w:vAlign w:val="center"/>
            <w:tcMar>
              <w:top w:w="85" w:type="dxa"/>
              <w:bottom w:w="85" w:type="dxa"/>
              <w:left w:w="85" w:type="dxa"/>
              <w:right w:w="85" w:type="dxa"/>
            </w:tcMar>
            <w:tcMar>
              <w:top w:w="85" w:type="dxa"/>
              <w:bottom w:w="85" w:type="dxa"/>
              <w:left w:w="85" w:type="dxa"/>
              <w:right w:w="85" w:type="dxa"/>
            </w:tcMar>
          </w:tcPr>
          <w:p>
            <w:pPr>
              <w:spacing w:after="80" w:before="60" w:line="259" w:lineRule="auto"/>
            </w:pPr>
            <w:r>
              <w:rPr>
                <w:b w:val="0"/>
                <w:sz w:val="20"/>
              </w:rPr>
              <w:t>2.812,50 EUR</w:t>
            </w:r>
          </w:p>
        </w:tc>
        <w:tc>
          <w:tcPr>
            <w:tcW w:type="dxa" w:w="2466"/>
            <w:vAlign w:val="center"/>
            <w:tcMar>
              <w:top w:w="85" w:type="dxa"/>
              <w:bottom w:w="85" w:type="dxa"/>
              <w:left w:w="85" w:type="dxa"/>
              <w:right w:w="85" w:type="dxa"/>
            </w:tcMar>
            <w:tcMar>
              <w:top w:w="85" w:type="dxa"/>
              <w:bottom w:w="85" w:type="dxa"/>
              <w:left w:w="85" w:type="dxa"/>
              <w:right w:w="85" w:type="dxa"/>
            </w:tcMar>
          </w:tcPr>
          <w:p>
            <w:pPr>
              <w:spacing w:after="80" w:before="60" w:line="259" w:lineRule="auto"/>
            </w:pPr>
            <w:r>
              <w:rPr>
                <w:b w:val="0"/>
                <w:sz w:val="20"/>
              </w:rPr>
              <w:t>4.776,00 EUR</w:t>
            </w:r>
          </w:p>
        </w:tc>
      </w:tr>
    </w:tbl>
    <w:p>
      <w:r>
        <w:t>Die Spalte ohne eigenen Anwalt setzt voraus, dass die Gegenseite anwaltlich vertreten ist und die hier unterstellten Gebühren erstattungsfähig anfallen. Ohne eine solche Vertretung entfällt nicht jede weitere Aufwendung automatisch, aber dieses Szenario wäre entsprechend anders zu berechnen. Umgekehrt ist mit eigenem Anwalt kein Höchstbetrag: zusätzliche Auslagen und eine Vergütungsvereinbarung können hinzukommen.</w:t>
      </w:r>
    </w:p>
    <w:p>
      <w:r>
        <w:t>Bei einem Streitwert bis 500 Euro ergeben sich nach dieser Tabelle 120 Euro Gerichtsgebühren, nicht 114 Euro. Bei einem Streitwert von 5.000 Euro liegen die hier angenommenen gesetzlichen Kosten eines einzelnen Anwalts bei 1.078,44 Euro. Eine Nutzermeldung über mehr als 1.500 Euro gegnerische Anwaltskosten kann deshalb ohne Kostenrechnung, zusätzliche Positionen, Wert und zeitliche Gebührenfassung weder bestätigt noch widerlegt werden. Keine pauschale Behauptung, eine konkrete Rechnung sei falsch.</w:t>
      </w:r>
    </w:p>
    <w:p>
      <w:pPr>
        <w:pStyle w:val="Heading1"/>
      </w:pPr>
      <w:r>
        <w:t>3. Was Kosten erhöht - und was nicht automatisch</w:t>
      </w:r>
    </w:p>
    <w:p>
      <w:r>
        <w:t>Die Länge einer Begründung, die Zahl beigefügter Gutachten und die bloße Zahl von Beweisanträgen sind keine eigenständigen Streitwertpositionen. Wenn jedoch unter der Überschrift Beweisantrag tatsächlich eine zusätzliche selbständige Leistung oder globale Feststellung verlangt wird, kann dies ein weiteres Klagebegehren sein. Bei Hilfsanträgen sind die Voraussetzungen des § 45 GKG und die wirtschaftliche Identität zu beachten. Der tatsächliche Inhalt zählt, nicht allein das Etikett. [R03, § 88; R04, §§ 39, 45, 52]</w:t>
      </w:r>
    </w:p>
    <w:p>
      <w:r>
        <w:t>Eine vom Gericht tatsächlich durchgeführte Beweisaufnahme kann Sachverständigen-, Zeugen- oder andere Auslagen auslösen. Auch von Amts wegen erhobener Beweis ist nicht automatisch kostenfrei. Eine Bitte um vorherige Kosteninformation ist sinnvoll, begründet aber keinen allgemeinen privatrechtlichen Zustimmungsvorbehalt gegen gesetzliche Kostenfolgen. Die freiwillige private Beauftragung einer Studie und die gerichtliche Beauftragung eines Sachverständigen sind zusätzlich zu unterscheiden. Erstattung eines Privatgutachtens nicht ohne Einzelfallprüfung versprechen. [R03, § 162; N11]</w:t>
      </w:r>
    </w:p>
    <w:p>
      <w:r>
        <w:t>Ein gesondertes Zugangs- oder Feststellungsverfahren kann zusätzliche Kosten auslösen, auch wenn sein Zweck mit einer Beitragsklage zusammenhängt. Projekt 51 ist keine gesetzliche Musterfeststellungsklage mit automatisch für alle Teilnehmer gebündeltem Kostenrisiko. Verbindungen und Trennungen von Verfahren sind gerichtlich beziehungsweise gesetzlich bestimmt; ein Projektname ersetzt sie nicht.</w:t>
      </w:r>
    </w:p>
    <w:p>
      <w:pPr>
        <w:pStyle w:val="Heading1"/>
      </w:pPr>
      <w:r>
        <w:t>4. Individuelle Prüfung vor weiteren Schritten</w:t>
      </w:r>
    </w:p>
    <w:p>
      <w:r>
        <w:t>Zu erfassen sind: Datum der Klageerhebung; tatsächliche Haupt- und Hilfsanträge; gegenwärtiger und gegebenenfalls geänderter Streitwert; Erlass und Zustellung von Wertbeschlüssen; Beginn und Umfang eigener und gegnerischer Mandate; Gebührenfassung; bereits angefallene Gebühren; mögliche Erstattung von Umsatzsteuer; Beweisbeschlüsse; Verfahrensstand und noch laufende Rechtsbehelfsfristen. Korrekturen an Anträgen nicht ohne diese Prüfung als kostenneutral bezeichnen.</w:t>
      </w:r>
    </w:p>
    <w:p>
      <w:r>
        <w:t>Prozesskostenhilfe wird gegebenenfalls individuell geprüft; sie ist nicht mit einer allgemeinen Beitragsklage-Kostenfreiheit zu verwechseln und beseitigt nicht automatisch das Risiko gegnerischer Anwaltskosten. Eine externe Kostenübernahme muss ausdrücklich, verbindlich und mit ihrem Umfang dokumentiert sein. Die pauschale Aussage wir tragen das gemeinsam genügt dafür nicht. [§ 166 VwGO i.V.m. § 123 ZPO]</w:t>
      </w:r>
    </w:p>
    <w:p>
      <w:pPr>
        <w:pStyle w:val="Heading1"/>
      </w:pPr>
      <w:r>
        <w:t>5. Verwendbare Information an Nutzer</w:t>
      </w:r>
    </w:p>
    <w:p>
      <w:r>
        <w:t>Wichtige Information zu den Kosten eines Gerichtsverfahrens: Die Nutzung unserer Unterlagen und die Kosten des Gerichtsverfahrens sind getrennt zu betrachten. Gerichtskosten sind nur ein Teil des Risikos. Bei Unterliegen können insbesondere die gesetzlichen Anwaltskosten der Gegenseite hinzukommen, auch wenn Sie selbst ohne Anwalt auftreten. Eigene anwaltliche Vertretung und eine gerichtliche Beweisaufnahme können weitere Kosten verursachen.</w:t>
      </w:r>
    </w:p>
    <w:p>
      <w:r>
        <w:t>Ein auf einen konkreten Beitragsbescheid beschränktes Verfahren ist kostenrechtlich anders zu bewerten als eine zusätzliche Feststellungs- oder Zugangsklage. Deshalb sollte vor weiteren Anträgen der tatsächliche Umfang des Begehrens und ein individuelles Kostenszenario geprüft werden. Eine frühere pauschale Angabe von 114 Euro bildet das gesamte Risiko nicht ab. Unter bestimmten Annahmen können bei einem Streitwert von 5.000 Euro bereits Gericht und gegnerischer Anwalt zusammen rund 1.590 Euro kosten; mit einem eigenen Anwalt nach denselben gesetzlichen Gebühren rund 2.668 Euro. Weitere Auslagen sind darin nicht enthalten.</w:t>
      </w:r>
    </w:p>
    <w:p>
      <w:r>
        <w:t>Bitte ziehen Sie Klagen oder einzelne Anträge nicht allein aufgrund dieses Hinweises ungeprüft zurück. Auch eine Rücknahme kann Kostenfolgen haben. Gesetzliche und gerichtliche Fristen laufen weiter. Lassen Sie den konkreten Verfahrensstand und bestehende Kostenentscheidungen prüfen. Eine Kostenübernahme besteht nur, soweit sie Ihnen verbindlich und mit eindeutigem Umfang zugesagt wurde.</w:t>
      </w:r>
    </w:p>
    <w:p>
      <w:pPr>
        <w:pStyle w:val="Heading1"/>
      </w:pPr>
      <w:r>
        <w:t>6. Quellen und Nachrechnung</w:t>
      </w:r>
    </w:p>
    <w:p>
      <w:r>
        <w:t>Eine einfache RVG-Gebühr beträgt nach § 13 RVG in den Beispielen 51,50 / 354,50 / 652,00 Euro. Berechnung eines Anwalts: (2,5 x einfache Gebühr + 20) x 1,19, auf Cent gerundet. Gericht: 3,0 x Gebühr nach Anlage 2 GKG, hier 40 / 170,50 / 283 Euro. KV 5110 GKG und VV 3100, 3104, 7002, 7008 RVG. Übergangsrecht: § 71 GKG und § 60 RVG. Das beigefügte kostenmodell.json dokumentiert die Rechenannahmen maschinenlesbar. [N06-N09]</w:t>
      </w:r>
    </w:p>
    <w:sectPr w:rsidR="00FC693F" w:rsidRPr="0006063C" w:rsidSect="00034616">
      <w:headerReference w:type="default" r:id="rId9"/>
      <w:footerReference w:type="default" r:id="rId10"/>
      <w:pgSz w:w="11906" w:h="16838"/>
      <w:pgMar w:top="1191" w:right="1304" w:bottom="1134" w:left="1304" w:header="51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Liberation Sans" w:hAnsi="Liberation Sans"/>
        <w:sz w:val="16"/>
      </w:rPr>
      <w:t xml:space="preserve">K01 | 3.0 | 03.10.2026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rFonts w:ascii="Liberation Sans" w:hAnsi="Liberation Sans"/>
        <w:color w:val="5B6572"/>
        <w:sz w:val="16"/>
      </w:rPr>
      <w:t>BEITRAGSSTOPPER / PROJEKT 51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69" w:lineRule="auto"/>
    </w:pPr>
    <w:rPr>
      <w:rFonts w:ascii="Liberation Serif" w:hAnsi="Liberation Serif"/>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Liberation Sans" w:hAnsi="Liberation Sans"/>
      <w:b/>
      <w:bCs/>
      <w:color w:val="243647"/>
      <w:sz w:val="28"/>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Liberation Sans" w:hAnsi="Liberation Sans"/>
      <w:b/>
      <w:bCs/>
      <w:color w:val="243647"/>
      <w:sz w:val="24"/>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Liberation Sans" w:hAnsi="Liberation Sans"/>
      <w:b/>
      <w:bCs/>
      <w:color w:val="243647"/>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0"/>
      <w:contextualSpacing/>
    </w:pPr>
    <w:rPr>
      <w:rFonts w:asciiTheme="majorHAnsi" w:eastAsiaTheme="majorEastAsia" w:hAnsiTheme="majorHAnsi" w:cstheme="majorBidi" w:ascii="Liberation Sans" w:hAnsi="Liberation Sans"/>
      <w:b/>
      <w:color w:val="243647"/>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80"/>
    </w:pPr>
    <w:rPr>
      <w:rFonts w:asciiTheme="majorHAnsi" w:eastAsiaTheme="majorEastAsia" w:hAnsiTheme="majorHAnsi" w:cstheme="majorBidi" w:ascii="Liberation Sans" w:hAnsi="Liberation Sans"/>
      <w:i/>
      <w:iCs/>
      <w:color w:val="596572"/>
      <w:spacing w:val="15"/>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K01 | Beitragsstopper / Projekt 51</dc:title>
  <dc:subject>Modulare Arbeitsfassung; individuelle rechtliche und fachliche Freigabe erforderlich</dc:subject>
  <dc:creator>Freiheitskanzlei - Arbeitsunterlagen</dc:creator>
  <cp:keywords/>
  <dc:description>generated by python-docx</dc:description>
  <cp:lastModifiedBy/>
  <cp:revision>1</cp:revision>
  <dcterms:created xsi:type="dcterms:W3CDTF">2013-12-23T23:15:00Z</dcterms:created>
  <dcterms:modified xsi:type="dcterms:W3CDTF">2013-12-23T23:15:00Z</dcterms:modified>
  <cp:category/>
</cp:coreProperties>
</file>