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Abschnitt 3</w:t>
      </w:r>
    </w:p>
    <w:p>
      <w:pPr>
        <w:pStyle w:val="Heading1"/>
      </w:pPr>
      <w:r>
        <w:t>Programmbeschwerden, Gremienkontrolle und institutionelle Rückkopplung</w:t>
      </w:r>
    </w:p>
    <w:p>
      <w:pPr>
        <w:jc w:val="both"/>
      </w:pPr>
      <w:r>
        <w:t>Die Klägerseite führt die Ergebnisse der Rundfunkalarm-Auswertung unmittelbar in die Klage ein. Gegenstand dieses Abschnitts ist nicht die abschließende inhaltliche Rechtmäßigkeit sämtlicher beanstandeter Sendungen. Gegenstand ist die dokumentierte Inanspruchnahme des Beschwerdewegs, die Erfassung seiner Reaktionen und die Frage nach einer nachvollziehbaren Korrektur- und Lernwirkung. Die rechtlichen und methodischen Schlussfolgerungen werden von den im Ausgangsgutachten berichteten Daten getrennt.</w:t>
      </w:r>
    </w:p>
    <w:p>
      <w:bookmarkStart w:id="16" w:name="s3_1"/>
      <w:pPr>
        <w:pStyle w:val="Heading2"/>
      </w:pPr>
      <w:r>
        <w:t>3.1 Funktion der Beschwerde- und Kontrollstrukturen</w:t>
      </w:r>
      <w:bookmarkEnd w:id="16"/>
    </w:p>
    <w:p>
      <w:pPr>
        <w:jc w:val="both"/>
      </w:pPr>
      <w:r>
        <w:t>Programmbeschwerden und Gremienaufsicht sollen eine inhaltliche Befassung mit behaupteten Verstößen gegen Programmgrundsätze ermöglichen. Die konkreten Zuständigkeiten, Formerfordernisse und Fristen richten sich nach den für die jeweilige Anstalt geltenden Bestimmungen. Eine automatisierte Weiterleitung durch eine Plattform beweist für sich allein nicht, dass eine zulässige förmliche Beschwerde bei der zuständigen Stelle eingegangen und behandelt worden ist. [RA, Abschn. B-C]</w:t>
      </w:r>
    </w:p>
    <w:p>
      <w:pPr>
        <w:jc w:val="both"/>
      </w:pPr>
      <w:r>
        <w:t>Die hier entscheidende Unterscheidung ist die zwischen dem Bestehen eines Verfahrens und seiner tatsächlichen Anwendung. Ein Formular, eine Eingangsnummer oder eine Gremienbefassung sagt noch nicht, was inhaltlich geprüft wurde. Umgekehrt ist eine begründete Zurückweisung nicht deshalb wirkungslos, weil sie der beschwerdeführenden Person nicht recht gibt. Die Untersuchung muss Prüfung, Anerkennung, Abhilfe und längerfristige Folge voneinander unterscheiden.</w:t>
      </w:r>
    </w:p>
    <w:p>
      <w:pPr>
        <w:jc w:val="both"/>
      </w:pPr>
      <w:r>
        <w:t>Der Verweis auf Programmbeschwerden ersetzt nach dem in Abschnitt 1 erläuterten verfassungsrechtlichen Ansatz nicht pauschal die gerichtliche Behandlung eines hinreichend substantiierten Programmeinwands. Die hiesige Untersuchung ergänzt dies um eine tatsächliche Frage: Welche Ergebnisse sind in dem konkret dokumentierten Beschwerdebestand erkennbar, und welche Ergebnisdaten fehlen? [R1, Rn. 47; RA, Abschn. D und J]</w:t>
      </w:r>
    </w:p>
    <w:p>
      <w:bookmarkStart w:id="17" w:name="s3_2"/>
      <w:pPr>
        <w:pStyle w:val="Heading2"/>
      </w:pPr>
      <w:r>
        <w:t>3.2 Datengrundlage und Herkunft</w:t>
      </w:r>
      <w:bookmarkEnd w:id="17"/>
    </w:p>
    <w:p>
      <w:pPr>
        <w:jc w:val="both"/>
      </w:pPr>
      <w:r>
        <w:t>Die gerichtliche Fassung des Rundfunkalarm-Gutachtens vom 27. Juni 2026 beschreibt einen CSV-Export mit dem Dateinamen "rundfunkalarm_beschwerden_2026-06-22 (1).csv". Der ausgewertete Zeitraum nach Beschwerdedatum reicht vom 13. Juni 2024 bis zum 19. Juni 2026. Daneben wurden die öffentliche Statistikseite und Screenshots mit Stand vom 22. Juni 2026 ausgewertet. Die nachfolgenden Zahlen werden aus dieser Ausgangsauswertung übernommen; eine neue Prüfung der gesamten CSV-Datei wird hier nicht behauptet. [RA, Abschn. E]</w:t>
      </w:r>
    </w:p>
    <w:p>
      <w:pPr>
        <w:jc w:val="both"/>
      </w:pPr>
      <w:r>
        <w:t>Das Ausgangsgutachten nennt 4.086 Zeilen beziehungsweise Ursprungsvorgänge. Als Prüfsumme des dort verwendeten Exports wird SHA-256 b06ec9a54325bd4221b0869f9b9e34b0fcd1f36fc7e1a469d6e9455fc3a5854b angegeben. Dieser berichtete Hashwert darf erst nach tatsächlichem Empfang und eigenem Hashabgleich als Identitätsnachweis einer hier eingereichten Datei verwendet werden. Der vorliegende Schriftsatz bestätigt nicht rückwirkend einen nicht durchgeführten Dateiabgleich.</w:t>
      </w:r>
    </w:p>
    <w:p>
      <w:pPr>
        <w:jc w:val="both"/>
      </w:pPr>
      <w:r>
        <w:t xml:space="preserve">Der Datenstatus im konkreten Verfahren lautet: </w:t>
      </w:r>
      <w:r>
        <w:rPr>
          <w:i/>
          <w:color w:val="555555"/>
        </w:rPr>
        <w:t>{Originalexport erhalten am; Herkunft; durchgeführte Prüfungen; verantwortliche Person; fehlende Bestandteile}</w:t>
      </w:r>
      <w:r>
        <w:t>. Vorzulegen sind, soweit vorhanden und datenschutzgerecht verwendbar, die Rohdatei, die Feldbeschreibung, die technische Exporterklärung sowie die für den Fall ausgewählten Beschwerdeketten. Ein Formular für eine Versicherung an Eides statt wird nicht als bereits abgegebene Erklärung behandelt.</w:t>
      </w:r>
    </w:p>
    <w:p>
      <w:bookmarkStart w:id="18" w:name="s3_3"/>
      <w:pPr>
        <w:pStyle w:val="Heading2"/>
      </w:pPr>
      <w:r>
        <w:t>3.3 Ursprungsvorgänge, Teilungen und Gremieninformationen</w:t>
      </w:r>
      <w:bookmarkEnd w:id="18"/>
    </w:p>
    <w:p>
      <w:pPr>
        <w:jc w:val="both"/>
      </w:pPr>
      <w:r>
        <w:t>Die Ausgangsauswertung unterscheidet drei Zählobjekte. Ursprungsvorgänge beschreiben die im System angelegten Beschwerdeanlässe. Teilungen beschreiben Unterstützungs- oder Verbreitungsvorgänge. Rundfunkratsinformationen beschreiben eine gespeicherte Eskalationsaktivität. Diese Unterscheidung wird beibehalten. Eine Teilung erzeugt nicht notwendig einen neuen unabhängigen Programmfehler oder eine neue unabhängige Beobachtung.</w:t>
      </w:r>
    </w:p>
    <w:tbl>
      <w:tblPr>
        <w:tblW w:type="auto" w:w="0"/>
        <w:jc w:val="center"/>
        <w:tblLayout w:type="fixed"/>
        <w:tblLook w:firstColumn="1" w:firstRow="1" w:lastColumn="0" w:lastRow="0" w:noHBand="0" w:noVBand="1" w:val="04A0"/>
      </w:tblPr>
      <w:tblGrid>
        <w:gridCol w:w="2494"/>
        <w:gridCol w:w="2551"/>
        <w:gridCol w:w="4195"/>
      </w:tblGrid>
      <w:tr>
        <w:trPr>
          <w:cantSplit/>
          <w:tblHeader/>
        </w:trPr>
        <w:tc>
          <w:tcPr>
            <w:tcW w:type="dxa" w:w="2494"/>
            <w:vAlign w:val="center"/>
            <w:tcMar>
              <w:top w:w="90" w:type="dxa"/>
              <w:bottom w:w="90" w:type="dxa"/>
              <w:left w:w="100" w:type="dxa"/>
              <w:right w:w="100" w:type="dxa"/>
            </w:tcMar>
            <w:tcBorders>
              <w:bottom w:val="single" w:sz="3" w:color="CCCCCC"/>
            </w:tcBorders>
            <w:shd w:fill="EDEDED"/>
          </w:tcPr>
          <w:p>
            <w:pPr>
              <w:keepNext w:val="0"/>
              <w:spacing w:after="0" w:line="250" w:lineRule="auto"/>
            </w:pPr>
            <w:r>
              <w:rPr>
                <w:b/>
                <w:sz w:val="21"/>
              </w:rPr>
              <w:t>Kennzahl</w:t>
            </w:r>
          </w:p>
        </w:tc>
        <w:tc>
          <w:tcPr>
            <w:tcW w:type="dxa" w:w="2551"/>
            <w:vAlign w:val="center"/>
            <w:tcMar>
              <w:top w:w="90" w:type="dxa"/>
              <w:bottom w:w="90" w:type="dxa"/>
              <w:left w:w="100" w:type="dxa"/>
              <w:right w:w="100" w:type="dxa"/>
            </w:tcMar>
            <w:tcBorders>
              <w:bottom w:val="single" w:sz="3" w:color="CCCCCC"/>
            </w:tcBorders>
            <w:shd w:fill="EDEDED"/>
          </w:tcPr>
          <w:p>
            <w:pPr>
              <w:keepNext w:val="0"/>
              <w:spacing w:after="0" w:line="250" w:lineRule="auto"/>
            </w:pPr>
            <w:r>
              <w:rPr>
                <w:b/>
                <w:sz w:val="21"/>
              </w:rPr>
              <w:t>Im Ausgangsgutachten berichteter Wert</w:t>
            </w:r>
          </w:p>
        </w:tc>
        <w:tc>
          <w:tcPr>
            <w:tcW w:type="dxa" w:w="4195"/>
            <w:vAlign w:val="center"/>
            <w:tcMar>
              <w:top w:w="90" w:type="dxa"/>
              <w:bottom w:w="90" w:type="dxa"/>
              <w:left w:w="100" w:type="dxa"/>
              <w:right w:w="100" w:type="dxa"/>
            </w:tcMar>
            <w:tcBorders>
              <w:bottom w:val="single" w:sz="3" w:color="CCCCCC"/>
            </w:tcBorders>
            <w:shd w:fill="EDEDED"/>
          </w:tcPr>
          <w:p>
            <w:pPr>
              <w:keepNext w:val="0"/>
              <w:spacing w:after="0" w:line="250" w:lineRule="auto"/>
              <w:jc w:val="center"/>
            </w:pPr>
            <w:r>
              <w:rPr>
                <w:b/>
                <w:sz w:val="21"/>
              </w:rPr>
              <w:t>Aussagegrenze</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Ursprungsvorgänge im CSV</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4.086</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Systemvorgänge, nicht 4.086 bereits bestätigte Verstöße</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Summe der Teilungen im CSV</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118.627</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Verbreitung desselben Ausgangsmaterials möglich</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Summe der Rundfunkratsinformationen im CSV</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3.329</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Aktivitätskennzahl, nicht Anzahl stattgegebener Beschwerden</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Ursprungsvorgänge mit mindestens einer Gremieninformation</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474</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Teilmenge; Mehrfachinformationen gesondert</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Dashboard: Teilungen</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118.628</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Abweichung zum CSV: 1</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Dashboard: Beschwerden beim Rundfunkrat</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3.452</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Abweichung zur CSV-Summe: 123</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Dashboard: Gesamtmeldungen</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83.096</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Andere Zähllogik; nicht mit Teilungen gleichzusetzen</w:t>
            </w:r>
          </w:p>
        </w:tc>
      </w:tr>
    </w:tbl>
    <w:p>
      <w:pPr>
        <w:spacing w:after="20" w:line="96" w:lineRule="auto"/>
      </w:pPr>
      <w:r>
        <w:rPr>
          <w:sz w:val="4"/>
        </w:rPr>
      </w:r>
    </w:p>
    <w:p>
      <w:pPr>
        <w:jc w:val="both"/>
      </w:pPr>
      <w:r>
        <w:t>Die Abweichungen sind aufzuklären, nicht zu verdecken. Als mögliche Ursachen kommen unterschiedliche Auswertungszeitpunkte, Filter und technische Ereignisdefinitionen in Betracht; keine dieser Erklärungen ist ohne technische Bestätigung als festgestellt anzusehen. Die Daten erlauben die Feststellung erheblicher erfasster Aktivität. Für die genaue Zahl tatsächlich zugestellter, zulässiger und inhaltlich bearbeiteter Beschwerden werden weitere Informationen benötigt. [RA, Abschn. E II-VII und F I]</w:t>
      </w:r>
    </w:p>
    <w:p>
      <w:bookmarkStart w:id="19" w:name="s3_4"/>
      <w:pPr>
        <w:pStyle w:val="Heading2"/>
      </w:pPr>
      <w:r>
        <w:t>3.4 Medien- und Senderverteilung</w:t>
      </w:r>
      <w:bookmarkEnd w:id="19"/>
    </w:p>
    <w:p>
      <w:pPr>
        <w:jc w:val="both"/>
      </w:pPr>
      <w:r>
        <w:t>Nach der Ausgangsauswertung entfallen 3.943 Ursprungsvorgänge auf Fernsehen, 43 auf Onlineangebote, fünf auf Radio und 95 auf unbekannte Medienzuordnungen. Der Fernsehanteil beträgt damit rund 96,5 Prozent. Das ist eine wesentliche Begrenzung: Der Datensatz beschreibt vor allem Beschwerdeaktivität zu Fernsehangeboten. Er repräsentiert nicht schon wegen seiner Gesamtzahl gleichermaßen Hörfunk und Telemedien. [RA, Abschn. F II]</w:t>
      </w:r>
    </w:p>
    <w:p>
      <w:pPr>
        <w:jc w:val="both"/>
      </w:pPr>
      <w:r>
        <w:t>1.858 Ursprungsvorgänge werden Das Erste und 1.080 dem ZDF zugeordnet. Zusammen sind das 2.938 Vorgänge beziehungsweise rund 71,9 Prozent des beschriebenen Bestands. Weitere Vorgänge betreffen Regional-, Partner- und Spartenangebote. Das Ausgangsgutachten nennt zugleich unbekannte Senderzuordnungen und private Anbieter. Diese sind für eine Untersuchung des beitragsfinanzierten Angebots gesondert zu kennzeichnen. [RA, Abschn. F III]</w:t>
      </w:r>
    </w:p>
    <w:p>
      <w:pPr>
        <w:jc w:val="both"/>
      </w:pPr>
      <w:r>
        <w:t>Die Klägerseite folgert aus dieser Verteilung keinen Sendervergleich nach objektiver Fehlerhäufigkeit. Die Plattformnutzung, Bekanntheit einzelner Sendungen, Teilungsfunktionen und Nutzerauswahl können die Verteilung beeinflussen. Für eine Fehlerquote wäre zusätzlich eine geeignete Bezugsgröße des ausgestrahlten und geprüften Angebots erforderlich. Die Zahlen bezeichnen zunächst, wo die dokumentierte Beschwerdeaktivität konzentriert war.</w:t>
      </w:r>
    </w:p>
    <w:p>
      <w:bookmarkStart w:id="20" w:name="s3_5"/>
      <w:pPr>
        <w:pStyle w:val="Heading2"/>
      </w:pPr>
      <w:r>
        <w:t>3.5 Vorwurfskategorien und fehlende materielle Validierung</w:t>
      </w:r>
      <w:bookmarkEnd w:id="20"/>
    </w:p>
    <w:p>
      <w:pPr>
        <w:jc w:val="both"/>
      </w:pPr>
      <w:r>
        <w:t>Die Ausgangsauswertung nennt unter anderem 2.065 Zuordnungen zur Kategorie selektive Berichterstattung, 1.983 zur Einseitigkeit und 960 zur Falschmeldung. Es handelt sich um gespeicherte Vorwurfsbezeichnungen; Mehrfachnennungen waren möglich. Die Summe der Kategorien darf deshalb nicht als Zahl voneinander unabhängiger Beschwerden oder anerkannter Verstöße behandelt werden. [RA, Abschn. F IV]</w:t>
      </w:r>
    </w:p>
    <w:p>
      <w:pPr>
        <w:jc w:val="both"/>
      </w:pPr>
      <w:r>
        <w:t>Auch wertende Kategoriebegriffe des Ausgangssystems bleiben Zuschreibungen der Beschwerdeführenden. Sie werden durch ihre statistische Erfassung nicht zur eigenen Bewertung der Klägerseite übernommen. Für einen materiellen Befund müssen der Originalbeitrag, der konkrete Beanstandungsgrund und die sachlichen Gegenargumente untersucht werden. Eine Kategorienverteilung kann dagegen begründen, welche Arten von Beschwerdevorgängen für eine qualitative Stichprobe ausgewählt werden sollen.</w:t>
      </w:r>
    </w:p>
    <w:p>
      <w:bookmarkStart w:id="21" w:name="s3_6"/>
      <w:pPr>
        <w:pStyle w:val="Heading2"/>
      </w:pPr>
      <w:r>
        <w:t>3.6 Zeitlicher Verlauf und keine unbelegte Motivdiagnose</w:t>
      </w:r>
      <w:bookmarkEnd w:id="21"/>
    </w:p>
    <w:p>
      <w:pPr>
        <w:jc w:val="both"/>
      </w:pPr>
      <w:r>
        <w:t>Das Ausgangsgutachten berichtet 3.221 Ursprungsvorgänge im ersten und 865 im zweiten, leicht längeren Auswertungsabschnitt. Für die jeweils ersten und letzten sechs Monatswerte wird ein deutlicher Rückgang der Aktivität beschrieben. Dieser Verlauf belegt zunächst nur die Veränderung der erfassten Nutzung. [RA, Abschn. F V]</w:t>
      </w:r>
    </w:p>
    <w:p>
      <w:pPr>
        <w:jc w:val="both"/>
      </w:pPr>
      <w:r>
        <w:t>Daraus folgt weder ein nachgewiesener Erfolg der Programmkontrolle noch eine festgestellte Resignation der Nutzer. Eine solche Erklärung würde weitere Daten etwa zur Plattformnutzung, Reichweite, Themenlage, Versandfunktion, Nutzerbindung und tatsächlichen Abhilfe erfordern. Die im Ausgangsgutachten erwähnte Deutung als Ermüdung bleibt eine Hypothese. Sie wird hier nicht als empirisch festgestelltes Motiv weitergetragen.</w:t>
      </w:r>
    </w:p>
    <w:p>
      <w:pPr>
        <w:jc w:val="both"/>
      </w:pPr>
      <w:r>
        <w:t>Das Beschwerdedatum ist außerdem vom Sendedatum des beanstandeten Beitrags zu unterscheiden. Für die Verbindung mit dem in Abschnitt 1 bestimmten Programmzeitraum ist der Originalbeitrag zuzuordnen. Eine erst später eingelegte Beschwerde kann einen früheren Beitrag betreffen; eine im passenden Zeitraum gespeicherte Beschwerde kann umgekehrt einen anderen Sendezeitraum zum Gegenstand haben.</w:t>
      </w:r>
    </w:p>
    <w:p>
      <w:bookmarkStart w:id="22" w:name="s3_7"/>
      <w:pPr>
        <w:pStyle w:val="Heading2"/>
      </w:pPr>
      <w:r>
        <w:t>3.7 Das Wirkungsstufenmodell des Rundfunkalarm-Gutachtens</w:t>
      </w:r>
      <w:bookmarkEnd w:id="22"/>
    </w:p>
    <w:p>
      <w:pPr>
        <w:jc w:val="both"/>
      </w:pPr>
      <w:r>
        <w:t>Das Ausgangsgutachten unterscheidet sechs Reaktionsstufen. Diese Systematik wird als Ordnungsmodell übernommen, mit einer ausdrücklichen Differenzierung zwischen fehlender Dokumentation und nachgewiesenem Ausbleiben einer Reaktion. [RA, Abschn. G-H]</w:t>
      </w:r>
    </w:p>
    <w:tbl>
      <w:tblPr>
        <w:tblW w:type="auto" w:w="0"/>
        <w:jc w:val="center"/>
        <w:tblLayout w:type="fixed"/>
        <w:tblLook w:firstColumn="1" w:firstRow="1" w:lastColumn="0" w:lastRow="0" w:noHBand="0" w:noVBand="1" w:val="04A0"/>
      </w:tblPr>
      <w:tblGrid>
        <w:gridCol w:w="2494"/>
        <w:gridCol w:w="2551"/>
        <w:gridCol w:w="4195"/>
      </w:tblGrid>
      <w:tr>
        <w:trPr>
          <w:cantSplit/>
          <w:tblHeader/>
        </w:trPr>
        <w:tc>
          <w:tcPr>
            <w:tcW w:type="dxa" w:w="2494"/>
            <w:vAlign w:val="center"/>
            <w:tcMar>
              <w:top w:w="90" w:type="dxa"/>
              <w:bottom w:w="90" w:type="dxa"/>
              <w:left w:w="100" w:type="dxa"/>
              <w:right w:w="100" w:type="dxa"/>
            </w:tcMar>
            <w:tcBorders>
              <w:bottom w:val="single" w:sz="3" w:color="CCCCCC"/>
            </w:tcBorders>
            <w:shd w:fill="EDEDED"/>
          </w:tcPr>
          <w:p>
            <w:pPr>
              <w:keepNext w:val="0"/>
              <w:spacing w:after="0" w:line="250" w:lineRule="auto"/>
            </w:pPr>
            <w:r>
              <w:rPr>
                <w:b/>
                <w:sz w:val="21"/>
              </w:rPr>
              <w:t>Stufe</w:t>
            </w:r>
          </w:p>
        </w:tc>
        <w:tc>
          <w:tcPr>
            <w:tcW w:type="dxa" w:w="2551"/>
            <w:vAlign w:val="center"/>
            <w:tcMar>
              <w:top w:w="90" w:type="dxa"/>
              <w:bottom w:w="90" w:type="dxa"/>
              <w:left w:w="100" w:type="dxa"/>
              <w:right w:w="100" w:type="dxa"/>
            </w:tcMar>
            <w:tcBorders>
              <w:bottom w:val="single" w:sz="3" w:color="CCCCCC"/>
            </w:tcBorders>
            <w:shd w:fill="EDEDED"/>
          </w:tcPr>
          <w:p>
            <w:pPr>
              <w:keepNext w:val="0"/>
              <w:spacing w:after="0" w:line="250" w:lineRule="auto"/>
              <w:jc w:val="center"/>
            </w:pPr>
            <w:r>
              <w:rPr>
                <w:b/>
                <w:sz w:val="21"/>
              </w:rPr>
              <w:t>Dokumentierter Vorgang</w:t>
            </w:r>
          </w:p>
        </w:tc>
        <w:tc>
          <w:tcPr>
            <w:tcW w:type="dxa" w:w="4195"/>
            <w:vAlign w:val="center"/>
            <w:tcMar>
              <w:top w:w="90" w:type="dxa"/>
              <w:bottom w:w="90" w:type="dxa"/>
              <w:left w:w="100" w:type="dxa"/>
              <w:right w:w="100" w:type="dxa"/>
            </w:tcMar>
            <w:tcBorders>
              <w:bottom w:val="single" w:sz="3" w:color="CCCCCC"/>
            </w:tcBorders>
            <w:shd w:fill="EDEDED"/>
          </w:tcPr>
          <w:p>
            <w:pPr>
              <w:keepNext w:val="0"/>
              <w:spacing w:after="0" w:line="250" w:lineRule="auto"/>
              <w:jc w:val="center"/>
            </w:pPr>
            <w:r>
              <w:rPr>
                <w:b/>
                <w:sz w:val="21"/>
              </w:rPr>
              <w:t>Aussage für die Untersuchung</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0</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Keine dokumentierte Reaktion</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Dokumentationsstatus; nicht automatisch bewiesene Nichtbearbeitung</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1</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Eingangsbestätigung, Kenntnisnahme, formale Antwort</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Verfahrensaktivität ohne belegte Sachprüfung</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2</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Inhaltlich begründete Zurückweisung</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Erkennbare Prüfung; kann bei unbegründeter Beschwerde ordnungsgemäß sein</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3</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Teilweise Anerkennung oder weitere Prüfung ohne sichtbare Abhilfe</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Konkret zu bestimmen; Anerkennung und Prüfung nicht gleichsetzen</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4</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Korrektur, Ergänzung, Richtigstellung oder andere Abhilfe</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Nachgewiesene Abhilfewirkung im bestimmten Vorgang</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5</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Strukturelle Änderung oder nachgewiesene systematische Lernmassnahme</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Über den Einzelvorgang hinausgehende Wirkung</w:t>
            </w:r>
          </w:p>
        </w:tc>
      </w:tr>
    </w:tbl>
    <w:p>
      <w:pPr>
        <w:spacing w:after="20" w:line="96" w:lineRule="auto"/>
      </w:pPr>
      <w:r>
        <w:rPr>
          <w:sz w:val="4"/>
        </w:rPr>
      </w:r>
    </w:p>
    <w:p>
      <w:pPr>
        <w:jc w:val="both"/>
      </w:pPr>
      <w:r>
        <w:t>Dieses Modell ist keine pauschale Bewertungsskala für die Rechtmäßigkeit jeder Beschwerdeentscheidung. Eine nachvollziehbare Zurückweisung kann die gesetzlich gebotene Kontrolle gerade verwirklichen. Umgekehrt lässt eine bloß behauptete interne Besprechung ohne Beleg noch nicht erkennen, dass eine festgestellte Fehlentwicklung behoben wurde. Die sachliche Angemessenheit einer Reaktion und ihre Dokumentationsstufe sind getrennt zu beurteilen.</w:t>
      </w:r>
    </w:p>
    <w:p>
      <w:bookmarkStart w:id="23" w:name="s3_8"/>
      <w:pPr>
        <w:pStyle w:val="Heading2"/>
      </w:pPr>
      <w:r>
        <w:t>3.8 Die Aussage "keine dokumentierte Korrektur" richtig verwenden</w:t>
      </w:r>
      <w:bookmarkEnd w:id="23"/>
    </w:p>
    <w:p>
      <w:pPr>
        <w:jc w:val="both"/>
      </w:pPr>
      <w:r>
        <w:t>Nach der gerichtlichen Fassung des Ausgangsgutachtens war im damals vorliegenden Material kein Fall einer nach außen dokumentierten Korrektur- oder strukturellen Lernwirkung nachgewiesen. Das Gutachten verlangt selbst eine systematische Antwortanalyse zur weiteren Absicherung. Genau in dieser begrenzten Form wird der Befund hier eingeführt. [RA, Vorblatt sowie Abschn. H, L und M]</w:t>
      </w:r>
    </w:p>
    <w:p>
      <w:pPr>
        <w:jc w:val="both"/>
      </w:pPr>
      <w:r>
        <w:t>Nicht behauptet wird, dass tatsächlich jede der 4.086 Beschwerden unbeantwortet blieb, dass jede Beschwerde berechtigt war oder dass keine Rundfunkanstalt im Untersuchungszeitraum irgendeinen Beitrag korrigiert hat. Die Datenlage trägt auch keine statistisch gesicherte Null-Prozent-Erfolgsquote, solange Antworten, Zustellungen, Zulässigkeit und Abhilfefälle nicht vollständig oder methodisch geeignet erhoben wurden.</w:t>
      </w:r>
    </w:p>
    <w:p>
      <w:pPr>
        <w:jc w:val="both"/>
      </w:pPr>
      <w:r>
        <w:t xml:space="preserve">Die rechtlich relevante Anschlussfrage lautet enger: Welche Reaktionen auf konkret dokumentierte, der Anstalt zugegangene Beschwerden sind bei ihr vorhanden, und welche Wirkung hatten sie? Die Klägerseite legt hierfür </w:t>
      </w:r>
      <w:r>
        <w:rPr>
          <w:i/>
          <w:color w:val="555555"/>
        </w:rPr>
        <w:t>{ausgewählte vollständige Beschwerdeketten}</w:t>
      </w:r>
      <w:r>
        <w:t xml:space="preserve"> vor. Die Auswahlregel lautet </w:t>
      </w:r>
      <w:r>
        <w:rPr>
          <w:i/>
          <w:color w:val="555555"/>
        </w:rPr>
        <w:t>{Regel und Zeitraum}</w:t>
      </w:r>
      <w:r>
        <w:t>. Die konkret fehlenden Antwort- oder Gremienunterlagen werden jeweils bezeichnet, nicht nur eine allgemeine Offenlegung sämtlicher interner Arbeit verlangt.</w:t>
      </w:r>
    </w:p>
    <w:p>
      <w:bookmarkStart w:id="24" w:name="s3_9"/>
      <w:pPr>
        <w:pStyle w:val="Heading2"/>
      </w:pPr>
      <w:r>
        <w:t>3.9 Vollständige Beschwerdeketten als Untersuchungseinheit</w:t>
      </w:r>
      <w:bookmarkEnd w:id="24"/>
    </w:p>
    <w:p>
      <w:pPr>
        <w:jc w:val="both"/>
      </w:pPr>
      <w:r>
        <w:t>Die zentrale Untersuchungseinheit ist eine verknüpfte Kette: Originalbeitrag, Beschwerdetext, Versand und Zugang, Antwort, etwaige Gremienbefassung, Entscheidung und späterer Zustand des Beitrags. Ohne Originalbeitrag kann die Berechtigung des Vorwurfs nicht zuverlässig geprüft werden. Ohne Zugangsnachweis kann die fehlende Antwort nicht sicher als Nichtbearbeitung gewertet werden. Ohne Vergleich späterer Fassungen kann eine Korrektur unentdeckt bleiben.</w:t>
      </w:r>
    </w:p>
    <w:p>
      <w:pPr>
        <w:jc w:val="both"/>
      </w:pPr>
      <w:r>
        <w:t>Für die Stichprobe sind Anstalten, Formate, Zeitabschnitte, Beschwerdekategorien und Ergebnistypen transparent zu berücksichtigen. Mehrfachmeldungen desselben Beitrags werden als verbundene Vorgänge markiert. Bewusst ausgewählte problematische Fälle können einen konkreten Mechanismus zeigen, aber ohne weitere Begründung keine allgemeine Quote. Fehlende Antworten werden nicht durch eine für die eigene These günstige Annahme ersetzt.</w:t>
      </w:r>
    </w:p>
    <w:p>
      <w:pPr>
        <w:jc w:val="both"/>
      </w:pPr>
      <w:r>
        <w:t>Die Antwortanalyse sollte mindestens erfassen: inhaltliche Befassung, benannter Maßstab, Auseinandersetzung mit dem konkreten Beleg, Entscheidungsergebnis, Mitteilung einer Abhilfe, Rechts- oder Beschwerdeweg und zeitlicher Verlauf. Menschliche Mehrfachkodierung sowie eine dokumentierte Entscheidung bei Abweichungen können die Zuverlässigkeit der Einordnung prüfbar machen. Diese Anforderungen konkretisieren das im Rundfunkalarm-Gutachten bereits angelegte Wirkungsmodell; ihre tatsächliche Durchführung wird nicht vorgetäuscht.</w:t>
      </w:r>
    </w:p>
    <w:p>
      <w:bookmarkStart w:id="25" w:name="s3_10"/>
      <w:pPr>
        <w:pStyle w:val="Heading2"/>
      </w:pPr>
      <w:r>
        <w:t>3.10 Eigenständigkeit der Gremienkontrolle</w:t>
      </w:r>
      <w:bookmarkEnd w:id="25"/>
    </w:p>
    <w:p>
      <w:pPr>
        <w:jc w:val="both"/>
      </w:pPr>
      <w:r>
        <w:t>Die Einbeziehung eines Gremiums ist als eigenständiger Schritt zu untersuchen. Zu klären ist, ob es den Originalbeitrag und die Beschwerde selbst prüfte, ob es eine Stellungnahme der Intendanz nur übernahm oder mit eigenen Gründen bestätigte und ob der beschwerdeführenden Person eine Ergänzung möglich war. Eine Übereinstimmung mit der Intendanz beweist allein keine Abhängigkeit; eine abweichende Entscheidung beweist umgekehrt nicht die Wirksamkeit aller anderen Kontrollvorgänge. [RA, Abschn. C II und K II]</w:t>
      </w:r>
    </w:p>
    <w:p>
      <w:pPr>
        <w:jc w:val="both"/>
      </w:pPr>
      <w:r>
        <w:t xml:space="preserve">Für das hiesige Verfahren werden konkret benötigt: </w:t>
      </w:r>
      <w:r>
        <w:rPr>
          <w:i/>
          <w:color w:val="555555"/>
        </w:rPr>
        <w:t>{bezeichnete Gremienentscheidung oder Vorlage mit Bezug zu bestimmter Beschwerde}</w:t>
      </w:r>
      <w:r>
        <w:t>. Geschützte personenbezogene Angaben und redaktionelle Quellen können eine Begrenzung oder Schwärzung erfordern. Die Auswertung beantragt keine uneingeschränkte Einsicht in sämtliche vertraulichen Beratungen ohne Bezug zum bestimmten Beweisthema.</w:t>
      </w:r>
    </w:p>
    <w:p>
      <w:pPr>
        <w:jc w:val="both"/>
      </w:pPr>
      <w:r>
        <w:t>Die häufig verwendete Formulierung "Gremienkontrolle existiert" beantwortet keine konkrete Frage zur Behandlung eines bestimmten Vorgangs. Die umgekehrte Formulierung "Gremienkontrolle ist wirkungslos" wäre ohne geeignete Ergebnisdaten ebenso zu weit. Die Klägerseite verlangt eine nachprüfbare Behandlung der konkret bezeichneten Sachverhalte.</w:t>
      </w:r>
    </w:p>
    <w:p>
      <w:bookmarkStart w:id="26" w:name="s3_11"/>
      <w:pPr>
        <w:pStyle w:val="Heading2"/>
      </w:pPr>
      <w:r>
        <w:t>3.11 Verknüpfung von Beschwerden mit wiederkehrenden Programmmerkmalen</w:t>
      </w:r>
      <w:bookmarkEnd w:id="26"/>
    </w:p>
    <w:p>
      <w:pPr>
        <w:jc w:val="both"/>
      </w:pPr>
      <w:r>
        <w:t>Ein institutionell bedeutsames Muster wäre etwa dann näher zu prüfen, wenn ein sachlich begründeter, bestätigter Mangel trotz dokumentierter Kenntnis wiederholt in vergleichbaren Beiträgen auftritt. Dafür sind die Berechtigung des ersten Vorwurfs, der Zugang, die Reaktion und spätere vergleichbare Inhalte zu belegen. Ein bloßer Wiederholungszähler aus einer Plattform genügt nicht.</w:t>
      </w:r>
    </w:p>
    <w:p>
      <w:pPr>
        <w:jc w:val="both"/>
      </w:pPr>
      <w:r>
        <w:t>Die Verbindung zum Output aus Abschnitt 2 muss fall- oder variablenbezogen hergestellt werden. Eine Beschwerde zu einer bestimmten Darstellung kann einem kodierten Merkmal in einer Inhaltsanalyse zugeordnet werden. Dadurch lässt sich untersuchen, ob eine Abhilfe sichtbar wurde oder das konkret gerügte Merkmal fortbestand. Die Kontrolle wird so weder zum Ersatz der Programmanalyse noch zu einem davon völlig getrennten Nebenthema.</w:t>
      </w:r>
    </w:p>
    <w:p>
      <w:bookmarkStart w:id="27" w:name="s3_12"/>
      <w:pPr>
        <w:pStyle w:val="Heading2"/>
      </w:pPr>
      <w:r>
        <w:t>3.12 Bedeutung für den konkreten Rechtsstreit</w:t>
      </w:r>
      <w:bookmarkEnd w:id="27"/>
    </w:p>
    <w:p>
      <w:pPr>
        <w:jc w:val="both"/>
      </w:pPr>
      <w:r>
        <w:t>Im Beitragsverfahren können abgesicherte Kontrollbefunde die Behauptung eines langfristigen Strukturzusammenhangs ergänzen. Sie ersetzen aber nicht den Nachweis der für die verfassungsrechtliche Schwelle erheblichen Programmdefizite. Das Fehlen einer veröffentlichten Beschwerdestatistik oder einer bestimmten Kennzahl führt für sich genommen nicht zum Wegfall der Beitragspflicht. [R1; RA, Abschn. A III]</w:t>
      </w:r>
    </w:p>
    <w:p>
      <w:pPr>
        <w:jc w:val="both"/>
      </w:pPr>
      <w:r>
        <w:t>Im gesonderten Feststellungsverfahren zeigen konkret fehlende Antworten, Bestandsinformationen oder Ergebnisunterlagen, welche Erkenntnisfrage trotz eigener Bemühungen offenbleibt. Die eigenen Beschwerde- und Zugangsvorgänge der Klägerseite müssen von den Plattformdaten anderer Personen getrennt bleiben. Fremde Fälle können Vergleichsmaterial sein; sie ersetzen nicht den Nachweis des persönlichen neuen Konflikts aus Abschnitt 1.</w:t>
      </w:r>
    </w:p>
    <w:p>
      <w:pPr>
        <w:jc w:val="both"/>
      </w:pPr>
      <w:r>
        <w:t xml:space="preserve">Die Klägerseite trägt hierzu vor: </w:t>
      </w:r>
      <w:r>
        <w:rPr>
          <w:i/>
          <w:color w:val="555555"/>
        </w:rPr>
        <w:t>{eigene Beschwerde; Originalbeitrag; Antwort oder deren dokumentiertes Fehlen; gegebenenfalls Gremienentscheidung; konkrete Untersuchungslücke}</w:t>
      </w:r>
      <w:r>
        <w:t>. Die zugehörigen Nachweise sind in K beziehungsweise E mit eindeutigen Kennungen bezeichnet. Nur diese tatsächlich vorgelegten Vorgänge werden als eigene Falltatsachen behauptet.</w:t>
      </w:r>
    </w:p>
    <w:p>
      <w:bookmarkStart w:id="28" w:name="s3_13"/>
      <w:pPr>
        <w:pStyle w:val="Heading2"/>
      </w:pPr>
      <w:r>
        <w:t>3.13 Abgestufte Aufklärung statt unbegrenzter Offenlegung</w:t>
      </w:r>
      <w:bookmarkEnd w:id="28"/>
    </w:p>
    <w:p>
      <w:pPr>
        <w:jc w:val="both"/>
      </w:pPr>
      <w:r>
        <w:t>Zunächst kann die Beklagte zu den bestimmten Vorgangsnummern und vorhandenen Ergebnisunterlagen Stellung nehmen. Sodann können vorhandene Übersichten zu einer abgegrenzten Periode oder bestimmten Fallgruppe beigezogen werden, soweit ihr Bestand und ihre Bedeutung dargelegt sind. Erst aus verbleibenden konkreten Fragen ergibt sich, ob eine weitergehende sachverständige Auswertung notwendig ist. [RA, Abschn. K; R2, §§ 86, 87, 99]</w:t>
      </w:r>
    </w:p>
    <w:p>
      <w:pPr>
        <w:jc w:val="both"/>
      </w:pPr>
      <w:r>
        <w:t>Die Klägerseite verlangt keine nachträgliche Herstellung bislang nicht vorhandener Statistiken unter dem Etikett der Vorlagepflicht. Bestehende Standardauswertungen, vorhandene Beschwerdeakten und rechtlich mögliche Auskünfte sind hiervon zu unterscheiden. Die in Abschnitt 4 formulierten Begehren sind auf den tatsächlichen Bestand und die für den Streit erheblichen Fragen zu begrenzen.</w:t>
      </w:r>
    </w:p>
    <w:p>
      <w:bookmarkStart w:id="29" w:name="s3_14"/>
      <w:pPr>
        <w:pStyle w:val="Heading2"/>
      </w:pPr>
      <w:r>
        <w:t>3.14 Ergebnis dieses Abschnitts</w:t>
      </w:r>
      <w:bookmarkEnd w:id="29"/>
    </w:p>
    <w:p>
      <w:pPr>
        <w:jc w:val="both"/>
      </w:pPr>
      <w:r>
        <w:t>Die Rundfunkalarm-Auswertung liefert einen umfangreichen dokumentierten Aktivitätsbestand und ein ausdrückliches Modell zur Unterscheidung von Bearbeitung, Prüfung, Abhilfe und Lernen. Sie wird mit ihren Zahlen, Herkunftsangaben, Differenzen und Grenzen unmittelbar in die Klage übernommen. Ein separates dreissigseitiges Privatgutachten ist damit nicht Voraussetzung, um diese Argumentation lesen zu können.</w:t>
      </w:r>
    </w:p>
    <w:p>
      <w:pPr>
        <w:jc w:val="both"/>
      </w:pPr>
      <w:r>
        <w:t>Der noch fehlende Teil ist die methodisch abgesicherte Verbindung der Aktivitätsdaten mit Originalantworten, Entscheidungen und tatsächlichen Folgen. Daraus ergibt sich ein konkretes Aufklärungsprogramm, nicht die Behauptung eines bereits geführten Vollbeweises allgemeiner Wirkungslosigkeit. Die eigene beitrags- oder zugangsbezogene Rechtsposition ist nach Abschnitt 1 hieran anzubinden.</w:t>
      </w:r>
    </w:p>
    <w:p>
      <w:pPr>
        <w:pStyle w:val="Heading3"/>
      </w:pPr>
      <w:r>
        <w:t>Nachweise zu Abschnitt 3</w:t>
      </w:r>
    </w:p>
    <w:p>
      <w:pPr>
        <w:pStyle w:val="Source"/>
      </w:pPr>
      <w:r>
        <w:t>[RA] Gutachten Rundfunkalarm - Programmbeschwerden und Gremienkontrolle, gerichtliche Fassung vom 27.06.2026, Vorblatt und Abschn. A-M, insbesondere Daten und Methodik E-F sowie Wirkungsmodell H. Im Ausgangsdokument berichtete Daten; CSV und vollständige Antwortsammlung sind gesonderte Beweisquellen. Die Ausgangsargumentation ist hier eingearbeitet; keine pauschale Wiedereinreichung des gesamten Gutachtens erforderlich.</w:t>
      </w:r>
    </w:p>
    <w:p>
      <w:pPr>
        <w:pStyle w:val="Source"/>
      </w:pPr>
      <w:r>
        <w:t xml:space="preserve">[R1] BVerwG, Urteil vom 15.10.2025 - 6 C 5.24, insbesondere Rn. 47: </w:t>
      </w:r>
      <w:hyperlink r:id="rId11">
        <w:r>
          <w:rPr>
            <w:color w:val="333333"/>
            <w:u w:val="single"/>
          </w:rPr>
          <w:t>Quelle aufrufen</w:t>
        </w:r>
      </w:hyperlink>
    </w:p>
    <w:p>
      <w:pPr>
        <w:pStyle w:val="Source"/>
      </w:pPr>
      <w:r>
        <w:t xml:space="preserve">[R2] VwGO, §§ 86, 87, 99, 108: </w:t>
      </w:r>
      <w:hyperlink r:id="rId12">
        <w:r>
          <w:rPr>
            <w:color w:val="333333"/>
            <w:u w:val="single"/>
          </w:rPr>
          <w:t>Quelle aufrufen</w:t>
        </w:r>
      </w:hyperlink>
    </w:p>
    <w:sectPr w:rsidR="00FC693F" w:rsidRPr="0006063C" w:rsidSect="00034616">
      <w:headerReference w:type="default" r:id="rId9"/>
      <w:footerReference w:type="default" r:id="rId10"/>
      <w:pgSz w:w="11906" w:h="16838"/>
      <w:pgMar w:top="1276" w:right="1276" w:bottom="1134" w:left="1389"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jc w:val="right"/>
    </w:pPr>
    <w:r>
      <w:t xml:space="preserve">Seite </w:t>
    </w:r>
    <w:r>
      <w:fldChar w:fldCharType="begin"/>
    </w:r>
    <w:r>
      <w:instrText xml:space="preserve"> PAGE </w:instrText>
    </w:r>
    <w:r>
      <w:fldChar w:fldCharType="end"/>
    </w:r>
    <w:r>
      <w:t xml:space="preserve"> von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spacing w:after="40"/>
      <w:pBdr>
        <w:bottom w:val="single" w:sz="4" w:color="BDBDBD"/>
      </w:pBdr>
    </w:pPr>
    <w:r>
      <w:t>Abschnitt 3 | Programmbeschwerden, Gremienkontrolle und institutionelle Rückkopplung | V4 | 04.10.2026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71" w:lineRule="auto"/>
    </w:pPr>
    <w:rPr>
      <w:rFonts w:ascii="Times New Roman" w:hAnsi="Times New Roman"/>
      <w:sz w:val="24"/>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20" w:line="254" w:lineRule="auto"/>
      <w:outlineLvl w:val="0"/>
    </w:pPr>
    <w:rPr>
      <w:rFonts w:ascii="Times New Roman" w:hAnsi="Times New Roman"/>
      <w:b/>
      <w:bCs/>
      <w:color w:val="111111"/>
      <w:sz w:val="32"/>
      <w:szCs w:val="28"/>
      <w:lang w:val="de-DE"/>
    </w:rPr>
  </w:style>
  <w:style w:type="paragraph" w:styleId="Heading2">
    <w:name w:val="heading 2"/>
    <w:basedOn w:val="Normal"/>
    <w:next w:val="Normal"/>
    <w:link w:val="Heading2Char"/>
    <w:uiPriority w:val="9"/>
    <w:unhideWhenUsed/>
    <w:qFormat/>
    <w:rsid w:val="00FC693F"/>
    <w:pPr>
      <w:keepNext/>
      <w:keepLines/>
      <w:spacing w:before="240" w:after="120" w:line="254" w:lineRule="auto"/>
      <w:outlineLvl w:val="1"/>
    </w:pPr>
    <w:rPr>
      <w:rFonts w:ascii="Times New Roman" w:hAnsi="Times New Roman"/>
      <w:b/>
      <w:bCs/>
      <w:color w:val="111111"/>
      <w:sz w:val="25"/>
      <w:szCs w:val="26"/>
      <w:lang w:val="de-DE"/>
    </w:rPr>
  </w:style>
  <w:style w:type="paragraph" w:styleId="Heading3">
    <w:name w:val="heading 3"/>
    <w:basedOn w:val="Normal"/>
    <w:next w:val="Normal"/>
    <w:link w:val="Heading3Char"/>
    <w:uiPriority w:val="9"/>
    <w:unhideWhenUsed/>
    <w:qFormat/>
    <w:rsid w:val="00FC693F"/>
    <w:pPr>
      <w:keepNext/>
      <w:keepLines/>
      <w:spacing w:before="180" w:after="100" w:line="254" w:lineRule="auto"/>
      <w:outlineLvl w:val="2"/>
    </w:pPr>
    <w:rPr>
      <w:rFonts w:ascii="Times New Roman" w:hAnsi="Times New Roman"/>
      <w:b/>
      <w:bCs/>
      <w:color w:val="111111"/>
      <w:sz w:val="23"/>
      <w:lang w:val="de-D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keepNext/>
      <w:keepLines/>
      <w:spacing w:after="260" w:line="254" w:lineRule="auto" w:before="0"/>
      <w:contextualSpacing/>
    </w:pPr>
    <w:rPr>
      <w:rFonts w:ascii="Times New Roman" w:hAnsi="Times New Roman"/>
      <w:b/>
      <w:color w:val="111111"/>
      <w:kern w:val="28"/>
      <w:sz w:val="38"/>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numPr>
        <w:ilvl w:val="1"/>
      </w:numPr>
      <w:spacing w:before="0" w:after="180" w:line="254" w:lineRule="auto"/>
    </w:pPr>
    <w:rPr>
      <w:rFonts w:ascii="Times New Roman" w:hAnsi="Times New Roman"/>
      <w:b w:val="0"/>
      <w:i/>
      <w:iCs/>
      <w:color w:val="111111"/>
      <w:sz w:val="24"/>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widowControl/>
      <w:spacing w:after="120" w:line="271" w:lineRule="auto"/>
    </w:pPr>
    <w:rPr>
      <w:rFonts w:ascii="Times New Roman" w:hAnsi="Times New Roman"/>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
    <w:name w:val="Source"/>
    <w:basedOn w:val="Normal"/>
    <w:pPr>
      <w:keepLines/>
      <w:spacing w:after="80" w:line="252" w:lineRule="auto"/>
    </w:pPr>
    <w:rPr>
      <w:rFonts w:ascii="Times New Roman" w:hAnsi="Times New Roman"/>
      <w:sz w:val="19"/>
    </w:rPr>
  </w:style>
  <w:style w:type="paragraph" w:customStyle="1" w:styleId="Smallnote">
    <w:name w:val="Small note"/>
    <w:basedOn w:val="Normal"/>
    <w:pPr>
      <w:keepLines/>
      <w:spacing w:after="80" w:line="252" w:lineRule="auto"/>
    </w:pPr>
    <w:rPr>
      <w:rFonts w:ascii="Times New Roman" w:hAnsi="Times New Roman"/>
      <w:color w:val="555555"/>
      <w:sz w:val="20"/>
    </w:rPr>
  </w:style>
  <w:style w:type="paragraph" w:customStyle="1" w:styleId="TOCline">
    <w:name w:val="TOC line"/>
    <w:basedOn w:val="Normal"/>
    <w:pPr>
      <w:keepLines/>
      <w:spacing w:after="80" w:line="252" w:lineRule="auto"/>
    </w:pPr>
    <w:rPr>
      <w:rFonts w:ascii="Times New Roman" w:hAnsi="Times New Roman"/>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verwg.de/151025U6C5.24.0" TargetMode="External"/><Relationship Id="rId12" Type="http://schemas.openxmlformats.org/officeDocument/2006/relationships/hyperlink" Target="https://www.gesetze-im-internet.de/vw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Abschnitt 3 | Programmbeschwerden, Gremienkontrolle und institutionelle Rückkopplung</dc:title>
  <dc:subject>Modulare Klage mit integrierter Begründung</dc:subject>
  <dc:creator>Beitragsstopper - Arbeitsfassung</dc:creator>
  <cp:keywords>Beitragsstopper, Projekt 51, V4</cp:keywords>
  <dc:description>generated by python-docx</dc:description>
  <cp:lastModifiedBy/>
  <cp:revision>1</cp:revision>
  <dcterms:created xsi:type="dcterms:W3CDTF">2013-12-23T23:15:00Z</dcterms:created>
  <dcterms:modified xsi:type="dcterms:W3CDTF">2013-12-23T23:15:00Z</dcterms:modified>
  <cp:category/>
</cp:coreProperties>
</file>