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Redaktion, Verwendung und Projekt 51</w:t>
      </w:r>
    </w:p>
    <w:p>
      <w:pPr>
        <w:pStyle w:val="Heading1"/>
      </w:pPr>
      <w:r>
        <w:t>Internes Begleitblatt zur modularen Klage - Version 4</w:t>
      </w:r>
    </w:p>
    <w:p>
      <w:pPr>
        <w:jc w:val="both"/>
      </w:pPr>
      <w:r>
        <w:t>Dieses Dokument gehört nicht zur gerichtlichen Klage. Es erklärt den Zusammenbau, die Herkunft der Argumente und die offenen fallbezogenen Prüfungen. Es ist kein weiterer Gutachtenband. Stand der redaktionellen Bearbeitung und Rechtsquellenprüfung: 04.10.2026.</w:t>
      </w:r>
    </w:p>
    <w:p>
      <w:pPr>
        <w:pStyle w:val="Heading2"/>
      </w:pPr>
      <w:r>
        <w:t>1. Die neue Architektur</w:t>
      </w:r>
    </w:p>
    <w:p>
      <w:pPr>
        <w:jc w:val="both"/>
      </w:pPr>
      <w:r>
        <w:t>Die gerichtliche Begründung besteht aus genau vier Abschnitten. Abschnitt 1 ist fallbezogen und liegt in zwei alternativ zu verwendenden Fassungen vor: A für den Bescheidstreit; F für die neue Feststellungsklage nach einem eigenen erfolglosen Beitragsverfahren. Die Abschnitte 2, 3 und 4 sind gemeinsame Module. Zu jeder Route gehören ein Deckblatt, ein Inhaltsverzeichnis und ein gesondertes Antrags-/Unterschriftsblatt.</w:t>
      </w:r>
    </w:p>
    <w:p>
      <w:pPr>
        <w:jc w:val="both"/>
      </w:pPr>
      <w:r>
        <w:t>Die zwei Gesamtfassungen sind Lese- und Bearbeitungsfassungen desselben Inhalts. Entweder die Gesamtfassung oder ihre zusammengestellten Einzelmodule verwenden, nicht beides gleichzeitig einreichen. Die internen Hinweise, Quelldateien des Generators und Planungsdateien werden nicht an das Gericht geschickt. Die Klammerfelder in der Klage müssen anhand der Akten ersetzt oder sachgerecht bereinigt werden.</w:t>
      </w:r>
    </w:p>
    <w:p>
      <w:pPr>
        <w:jc w:val="both"/>
      </w:pPr>
      <w:r>
        <w:t>Es gibt keine Pflicht, die drei bisherigen Gutachten erneut im Ganzen anzuhängen. Ihre rechtlich-methodischen Argumente und ihre wesentlichen Befunde werden unmittelbar in den Abschnitten vorgetragen. Originaldaten, Urkunden und externe Studien bleiben hingegen eigenständige Beweisquellen. Diese Unterscheidung verhindert sowohl doppelte Herleitung als auch einen Verlust der Nachprüfbarkeit.</w:t>
      </w:r>
    </w:p>
    <w:p>
      <w:pPr>
        <w:pStyle w:val="Heading2"/>
      </w:pPr>
      <w:r>
        <w:t>2. Leseweg und Zusammenbau</w:t>
      </w:r>
    </w:p>
    <w:p>
      <w:pPr>
        <w:jc w:val="both"/>
      </w:pPr>
      <w:r>
        <w:t>Bescheidstreit: Deckblatt A, Inhaltsverzeichnis A, Abschnitt 1 A, gemeinsame Abschnitte 2-4, Anträge/Unterschrift A und nur die tatsächlich bezeichneten Fallbelege.</w:t>
      </w:r>
    </w:p>
    <w:p>
      <w:pPr>
        <w:jc w:val="both"/>
      </w:pPr>
      <w:r>
        <w:t>Projekt 51: Deckblatt F, Inhaltsverzeichnis F, Abschnitt 1 F, gemeinsame Abschnitte 2-4, Anträge/Unterschrift F und die vollständigen individuellen Alt- und Zugangsvorgänge. Beide Fassungen von Abschnitt 1 werden niemals zusammen als dieselbe Klage eingereicht.</w:t>
      </w:r>
    </w:p>
    <w:p>
      <w:pPr>
        <w:jc w:val="both"/>
      </w:pPr>
      <w:r>
        <w:t>Die Abschnittsnummern bleiben bei Einzelverwendung stabil. Damit kann ein Gericht oder Bearbeiter etwa auf Ziffer 3.7 oder 4.11 verwiesen werden, auch wenn sich beim Ausfüllen die Seiten verschieben. Die gesonderten Module verwenden lokale Seitenzählung, die Gesamtfassung eine durchgehende Seitenzählung. Nach jeder Individualisierung Seitenzahlen im Unterschriftsblatt anpassen und den tatsächlichen Versandbestand sichern.</w:t>
      </w:r>
    </w:p>
    <w:p>
      <w:pPr>
        <w:pStyle w:val="Heading2"/>
      </w:pPr>
      <w:r>
        <w:t>3. Wo die drei Gutachten verarbeitet sind</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Ausgangsmaterial / Argument</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Ziel im neuen Schriftsatz</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Redaktionelle Behandlung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Programmrüge, Beitrag und objektiver Vorteil</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1; 2.1 und 2.11-2.13</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Rechtlicher Maßstab einmal eingeführt; kein Austauschvertrag und kein Anspruch auf Wunschprogramm</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Studien und Indizienlandschaft, Müller, Jeitner, Maurer, Zukunftsrat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2.2-2.8</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Quellenarten getrennt; nur mittelbar bekannte Arbeiten entsprechend bezeichnet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Datenräume, Archivlücken, technische Prüfbarkeit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4.1-4.2 und 4.7-4.10</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Von pauschaler Datenherrschaft zu konkretem Bestands- und Zugangsprotokoll präzisiert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Waffengleichheit, Amtsermittlung, sekundäre Darlegungslast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4.3-4.6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Argument erhalten; keine automatische Beweislastumkehr und kein allgemeines Geständnis durch Schweigen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Rohmessdaten-/DSGVO-Analogien und digitaler Staat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4.9 und 4.14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Nur Vergleichs- und Nachprüfbarkeitsgedanke; keine fremden Anspruchsgrundlagen pauschal übertragen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V-Gutachten: geplante wissenschaftliche Auswertung</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2.11-2.14; 4.10-4.12</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Auswahl, Indikatoren, Gegenprüfung und konkrete Aufklärung; Planung nicht als fertiges Gutachten ausgegeben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Rundfunkalarm: Herkunft, Zahlen, Verteilungen und offene Differenzen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3.2-3.6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Zahlen und Quellenstatus erhalten; keine neue CSV-Verifikation behauptet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Rundfunkalarm: Wirkungsstufenmodell</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3.7-3.10</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Stufen 0-5 erhalten; nachvollziehbare Ablehnung nicht automatisch als Kontrollversagen bewertet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Rundfunkalarm: fehlende dokumentierte Abhilfe und Grenzen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3.8-3.14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Aussage auf Materialbestand begrenzt; keine allgemeine Null-Erfolgsquote oder Motivdiagnose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Kurzgutachten: institutioneller Lebenssachverhalt, Erkenntnisordnung, funktionale Kohärenz</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4.1-4.4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Begriffe erhalten; keine neuen gesetzlich normierten Ansprüche daraus gemacht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Kurzgutachten: wissenschaftliche Rekonstruktion und Methodenoffenheit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2.11-2.14; 4.3-4.4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Repräsentative Auswahl nicht mit Vollerhebung jeder Minute verwechselt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Kurzgutachten: Informationsasymmetrie und konkrete Mitwirkung</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4.5-4.12; Projekt 51 Abschnitt 1</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Eigene materiell-rechtliche Feststellungsthese von prozessualer Mitwirkung getrennt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Kurzgutachten: BGH VI ZR 335/24</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4.6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Fundstelle nicht verschwiegen; arzneimittelrechtlichen Spezialanspruch ausdrücklich abgegrenzt</w:t>
            </w:r>
          </w:p>
        </w:tc>
      </w:tr>
    </w:tbl>
    <w:p>
      <w:pPr>
        <w:spacing w:after="20" w:line="96" w:lineRule="auto"/>
      </w:pPr>
      <w:r>
        <w:rPr>
          <w:sz w:val="4"/>
        </w:rPr>
      </w:r>
    </w:p>
    <w:p>
      <w:pPr>
        <w:jc w:val="both"/>
      </w:pPr>
      <w:r>
        <w:t>Die gesonderte Grundlagenuntersuchung vom 16.07.2026 ist ihrem Titel und Aufbau nach eine rundfunkbezogene Erkenntnisuntersuchung, nicht schlicht ein Vollstreckungsgutachten. Sie wird entsprechend dem jetzigen Auftrag nicht als vierter Band eingereicht. Die vom Kurzgutachten aufgegriffenen Begriffe sind über dieses in Abschnitt 4 enthalten. Zwangsvollstreckung, automatisierte Bescheiderstellung und Beitragsservice-Organisationsangriffe bleiben als eigenständige Themen außerhalb dieses Pakets.</w:t>
      </w:r>
    </w:p>
    <w:p>
      <w:pPr>
        <w:jc w:val="both"/>
      </w:pPr>
      <w:r>
        <w:t>Die Zuordnung ist eine Verdichtung der entscheidungserheblichen Argumente, keine Behauptung, jeder Satz der Ausgangsdokumente sei unverändert übernommen worden. Wiederholungen, allgemeine gesellschaftstheoretische Exkurse und rechtlich nicht tragfähig belegte Automatismen sind nicht wiederholt. Das wird hier offengelegt, statt diese Änderung als bloße Formatierung auszugeben.</w:t>
      </w:r>
    </w:p>
    <w:p>
      <w:pPr>
        <w:pStyle w:val="Heading2"/>
      </w:pPr>
      <w:r>
        <w:t>4. Neue Erkenntnisse und ihr Status</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Material</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Verwendung</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Nicht behauptet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Glashaus-Whitepaper, 25.06.2026</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2.4: 2.911 Kommentarsegmente aus 5.597 Folgen, langer Zeitraum, Messgegenstand und Grenzen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Keine unabhängige Validierung durch diese Redaktion; kein Programmvollbeweis; keine Rangliste politischer Parteien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Technische O-Ton-Auswertung, Stand 16.09.2026</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2.5-2.6: vier Korpora, Methodenunterschiede, Daten-/Datumsfragen und Zugangsgrenzen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Keine eigene erneute OCR-Auswertung oder Validierung am Originalvideo</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Müller-Stellungnahme, 03.03.2026</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2.3: historischer thematischer Datensatz, Grenzen, ungeklärte Prozentabweichung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Keine Übernahme medizinischer Randthesen oder Vollständigkeitsbehauptung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Schmitz, Medienkritik; dortiger OVG-Bericht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4.13: konkret beschriebener Recherche- und Prüfansatz</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OVG-Originalbeschluss nicht unabhängig beschafft; Seitenzahl kein Beweis einer Rechtsverletzung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Berichte aus Berlin und Ansbach</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Abschnitt 1 und 4.13: eigene Aktenauswertung, Kosten- und Methodikfragen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Keine pauschalen gerichtlichen Motive; keine erfundenen Urteile oder Protokollzitate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Produktionsseite und Urteilstextvergleich</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Abschnitt 2.9-2.10 und 4.14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Untersuchungsansätze; keine bereits durchgeführte Institutionen- oder Urteilsstudie</w:t>
            </w:r>
          </w:p>
        </w:tc>
      </w:tr>
    </w:tbl>
    <w:p>
      <w:pPr>
        <w:spacing w:after="20" w:line="96" w:lineRule="auto"/>
      </w:pPr>
      <w:r>
        <w:rPr>
          <w:sz w:val="4"/>
        </w:rPr>
      </w:r>
    </w:p>
    <w:p>
      <w:pPr>
        <w:pStyle w:val="Heading2"/>
      </w:pPr>
      <w:r>
        <w:t>5. Projekt 51: vereinbarte Auswahl und 102-Fälle-Ziel</w:t>
      </w:r>
    </w:p>
    <w:p>
      <w:pPr>
        <w:jc w:val="both"/>
      </w:pPr>
      <w:r>
        <w:t>Das Planungsziel ist unverändert: ausschließlich bereits in einem eigenen Beitragsprozess unterlegene Personen; zwei verschiedene Fälle für jedes der 51 Verwaltungsgerichte, insgesamt 102 Personen. Ein eigenes unterlegenes Verfahren ist die Aufnahmevoraussetzung des Projekts. Personen ohne solchen Vorprozess werden nicht unter diese Projektvorlage gefasst. Die Zahl von 51 Verwaltungsgerichten wird in der amtlichen Darstellung des Bundesverwaltungsgerichts genannt. [R12]</w:t>
      </w:r>
    </w:p>
    <w:p>
      <w:pPr>
        <w:jc w:val="both"/>
      </w:pPr>
      <w:r>
        <w:t>Die konkrete Betroffenheit wird nicht mehr als lediglich abstrakte Ausgangslage beschrieben. Die Altentscheidung ist das zentrale Dokument. Für jeden Fall wird ihr tragender Grund dem eingereichten Vortrag und dem neuen Zugangsvorgang gegenübergestellt. Wer allein wegen Fristversäumung verloren hat, kann nicht ohne weitere Begründung als wegen wissenschaftlicher Unerfüllbarkeit gescheiterter Fall dargestellt werden.</w:t>
      </w:r>
    </w:p>
    <w:p>
      <w:pPr>
        <w:jc w:val="both"/>
      </w:pPr>
      <w:r>
        <w:t>Das Planungsziel ist allerdings nicht mit einer bereits bestehenden gesetzlichen Zuständigkeit aller 51 Gerichte gleichzusetzen. Für die isolierte Feststellungsklage ist insbesondere § 52 Nr. 5 VwGO zu prüfen; dieser knüpft grundsätzlich an den Beklagtensitz an. Der Gerichtsstand des alten Anfechtungsverfahrens wird nicht automatisch in ein neues Feststellungsverfahren übernommen. Gleiches gilt für die Zuständigkeit nach dem Wohnort. [R2, § 52]</w:t>
      </w:r>
    </w:p>
    <w:p>
      <w:pPr>
        <w:jc w:val="both"/>
      </w:pPr>
      <w:r>
        <w:t>Mit der hier entworfenen Feststellungskonstruktion ist die rechtmäßige Verteilung auf alle 51 Verwaltungsgerichte daher noch nicht gesichert. Bei landesweit oder länderübergreifend tätigen Rundfunkanstalten kann es zu einer Konzentration an deren Sitzgerichten kommen. Das ist kein bloßes Formblattproblem und kann nicht durch das Eintragen eines Wunschgerichts gelöst werden. Ein unzuständiges Gericht kann den Rechtsstreit verweisen. [R2, §§ 52, 83]</w:t>
      </w:r>
    </w:p>
    <w:p>
      <w:pPr>
        <w:jc w:val="both"/>
      </w:pPr>
      <w:r>
        <w:t>Die Planung wird deshalb in zwei Ebenen geführt: Herkunftsgericht des verlorenen Altprozesses und gesetzlich zuständiges Gericht des neuen Streitgegenstands. Die Datei Projekt51_102_Planstellen.json stellt 51 Zielpositionen mit je zwei Fallplätzen bereit. Sie enthält bewusst noch keine verifizierten Zuordnungen, Namen oder Gerichtsadressen. Die gesetzliche Zuständigkeit wird je Fall erst nach Aktenprüfung eingetragen. Die Datei ist ein Planungsraster, keine Liste bereits erstellter 102 Klagen.</w:t>
      </w:r>
    </w:p>
    <w:p>
      <w:pPr>
        <w:pStyle w:val="Heading2"/>
      </w:pPr>
      <w:r>
        <w:t>6. Warum die Niederlage nicht alle Voraussetzungen ersetzt</w:t>
      </w:r>
    </w:p>
    <w:p>
      <w:pPr>
        <w:jc w:val="both"/>
      </w:pPr>
      <w:r>
        <w:t>Persönliche Betroffenheit, Feststellungsinteresse, eigenständiger Streitgegenstand, Subsidiarität, Rechtskraft und Zuständigkeit sind verschiedene Prüfungen. § 43 Abs. 2 VwGO erfasst ausdrücklich auch Rechte, die mit anderer Klageart hätten verfolgt werden können. § 121 VwGO schützt den rechtskräftig entschiedenen Streitgegenstand. Wer den alten Bescheidprozess verliert, erhält dadurch keinen allgemeinen zweiten Rechtsweg gegen dasselbe Ergebnis. [R2]</w:t>
      </w:r>
    </w:p>
    <w:p>
      <w:pPr>
        <w:jc w:val="both"/>
      </w:pPr>
      <w:r>
        <w:t>Der tragende neue Ansatz ist deshalb nicht die Niederlage allein. Er ist die behauptete aktuelle Bindung der Beklagten bei einer durch den Altprozess und nachfolgende konkrete Zugangsversuche belegten Erkenntnisbarriere. Die Formulierung bleibt ein Rechtsfortbildungsansatz. Besonders angreifbar ist, ob sie ein eigenständiges materielles Rechtsverhältnis oder nur eine unselbstständige Darlegungs- und Beweisfrage beschreibt. Dieser Einwand ist in Abschnitt 1 F ausdrücklich bearbeitet, nicht verborgen.</w:t>
      </w:r>
    </w:p>
    <w:p>
      <w:pPr>
        <w:jc w:val="both"/>
      </w:pPr>
      <w:r>
        <w:t>Vor Einreichung muss ein im Verwaltungsprozessrecht tätiger Rechtsanwalt insbesondere prüfen, ob der gewünschte Tenor einen selbstständigen rechtlichen Nutzen hat und ob eine andere Klageart vorrangig ist. Eine solche Prüfung ist für jedes der 102 Verfahren erforderlich; die gemeinsame Argumentation kann die individuellen Besonderheiten nicht ersetzen. Der Versuch darf nicht mit einer bereits anerkannten Anspruchsgrundlage beworben werden.</w:t>
      </w:r>
    </w:p>
    <w:p>
      <w:pPr>
        <w:pStyle w:val="Heading2"/>
      </w:pPr>
      <w:r>
        <w:t>7. Individuelle Mindestakte</w:t>
      </w:r>
    </w:p>
    <w:p>
      <w:pPr>
        <w:jc w:val="both"/>
      </w:pPr>
      <w:r>
        <w:t>Erforderlich sind die vollständigen alten Bescheide und Zustellungsunterlagen, die tatsächlich gestellten Anträge, der alte Tatsachenvortrag, alle Entscheidungen und der belegte Rechtsmittelstand. Hinzu kommen die eigenen Anfragen und Antworten, das genaue Daten-/Bestandsverzeichnis, die erprobten öffentlichen und wissenschaftlichen Zugänge sowie die aktuelle Auseinandersetzung und deren Rechtswirkungen.</w:t>
      </w:r>
    </w:p>
    <w:p>
      <w:pPr>
        <w:jc w:val="both"/>
      </w:pPr>
      <w:r>
        <w:t>Fehlende Daten werden als fehlend bezeichnet. Insbesondere werden kein rechtskräftiger Abschluss, keine Kausalität zwischen Datenverweigerung und Niederlage, keine erfolglose Gutachterbeauftragung und keine Existenz bestimmter Transkripte aus bloßer Vermutung eingetragen. Diese Informationen sind die eigentliche Individualisierung; ein Austausch nur von Name, Gericht und Aktenzeichen reicht nicht.</w:t>
      </w:r>
    </w:p>
    <w:p>
      <w:pPr>
        <w:pStyle w:val="Heading2"/>
      </w:pPr>
      <w:r>
        <w:t>8. Nachweise ohne Gutachtenstapel</w:t>
      </w:r>
    </w:p>
    <w:p>
      <w:pPr>
        <w:jc w:val="both"/>
      </w:pPr>
      <w:r>
        <w:t>Die drei Ausgangsberichte bleiben in eurer Arbeitsbibliothek erhalten, werden aber nicht automatisch als ganze Anlagen erneut versendet. Für übernommene empirische Angaben wird ein schlanker Herkunftsnachweis benötigt: Originaltabelle beziehungsweise Auszug mit Fassung, zugrunde liegende Datei, technische Exporterklärung und gegebenenfalls die beantworteten Beschwerdevorgänge. Die vorliegende Redaktion hat keinen neuen CSV-Export erhalten und keine Erhebung nachgeholt.</w:t>
      </w:r>
    </w:p>
    <w:p>
      <w:pPr>
        <w:jc w:val="both"/>
      </w:pPr>
      <w:r>
        <w:t>Die externen Studien können je nach Beweiszweck weiterhin als Originaldokumente gebraucht werden. Dabei geht es nicht um drei zusätzliche Theoriebände, sondern um überprüfbare Quellen. Bereits in der eigenen Gerichtsakte befindliche Unterlagen werden mit Datum, Anlage und Seite exakt bezeichnet. In einem neuen Projekt-51-Verfahren befindet sich die alte Akte nicht automatisch beim neuen Gericht; ihre benötigten Teile müssen vorgelegt oder konkret beigezogen werden.</w:t>
      </w:r>
    </w:p>
    <w:p>
      <w:pPr>
        <w:jc w:val="both"/>
      </w:pPr>
      <w:r>
        <w:t>Die Schlussfassung des Anlagenverzeichnisses nennt nur tatsächlich beigefügte oder schon genau lokalisierte Unterlagen. Eine allgemein zugängliche Internetadresse allein ersetzt nicht in jedem Fall die Einführung eines bestimmten, versionsgesicherten Beweismittels. Die Auswertung im Schriftsatz und die Beweisquelle werden voneinander unterschieden.</w:t>
      </w:r>
    </w:p>
    <w:p>
      <w:pPr>
        <w:pStyle w:val="Heading2"/>
      </w:pPr>
      <w:r>
        <w:t>9. Kosten- und Versandkontrolle</w:t>
      </w:r>
    </w:p>
    <w:p>
      <w:pPr>
        <w:jc w:val="both"/>
      </w:pPr>
      <w:r>
        <w:t>Die Neugliederung senkt nicht automatisch Gerichtskosten und beseitigt keine früher entstandenen Kosten. Ein neuer Feststellungsprozess ist ein neues Kostenrisiko. Vier Kapitel erzeugen nicht vier Streitgegenstände; der tatsächliche Antrag bestimmt aber mit, welcher Wert und welche Gebühren anfallen. Keine pauschale Aussage von 114 Euro, genereller Gerichtskostenfreiheit oder kostenloser Beweisaufnahme verwenden. [R11]</w:t>
      </w:r>
    </w:p>
    <w:p>
      <w:pPr>
        <w:jc w:val="both"/>
      </w:pPr>
      <w:r>
        <w:t>Die Antragsblätter enthalten keine pauschale Rücknahme früherer Anträge. Bei laufenden Verfahren deren Umfang und Kostenfolgen gesondert klären. Vor Versand sind die Individualfelder, Belegverweise, Rechtsmittelfristen, der zulässige Übermittlungsweg und die Unterschrift zu prüfen. Die vorliegenden Dateien sind bewusst keine fertig ausgefüllten 102 Individualklagen.</w:t>
      </w:r>
    </w:p>
    <w:p>
      <w:pPr>
        <w:pStyle w:val="Heading3"/>
      </w:pPr>
      <w:r>
        <w:t>Quellen und redaktioneller Stand</w:t>
      </w:r>
    </w:p>
    <w:p>
      <w:pPr>
        <w:pStyle w:val="Source"/>
      </w:pPr>
      <w:r>
        <w:t>Die Ausgangsdateien wurden in ihrer bereitgestellten Fassung verwendet. Die allgemein-rechtliche Einordnung ist als Aktualisierung gegenüber diesen Quellen kenntlich gemacht. Die Hauptquellen sind in den jeweiligen gerichtlichen Abschnitten aufgeführt; private Berichte werden nicht als unabhängig verifizierte Tatsachen bestätigt.</w:t>
      </w:r>
    </w:p>
    <w:p>
      <w:pPr>
        <w:pStyle w:val="Source"/>
      </w:pPr>
      <w:r>
        <w:t xml:space="preserve">[R1] BVerwG 6 C 5.24: </w:t>
      </w:r>
      <w:hyperlink r:id="rId11">
        <w:r>
          <w:rPr>
            <w:color w:val="333333"/>
            <w:u w:val="single"/>
          </w:rPr>
          <w:t>Quelle aufrufen</w:t>
        </w:r>
      </w:hyperlink>
    </w:p>
    <w:p>
      <w:pPr>
        <w:pStyle w:val="Source"/>
      </w:pPr>
      <w:r>
        <w:t xml:space="preserve">[R2] VwGO, insbesondere §§ 43, 52, 83, 121, 153: </w:t>
      </w:r>
      <w:hyperlink r:id="rId12">
        <w:r>
          <w:rPr>
            <w:color w:val="333333"/>
            <w:u w:val="single"/>
          </w:rPr>
          <w:t>Quelle aufrufen</w:t>
        </w:r>
      </w:hyperlink>
    </w:p>
    <w:p>
      <w:pPr>
        <w:pStyle w:val="Source"/>
      </w:pPr>
      <w:r>
        <w:t xml:space="preserve">[R11] GKG, insbesondere §§ 39, 45, 52: </w:t>
      </w:r>
      <w:hyperlink r:id="rId13">
        <w:r>
          <w:rPr>
            <w:color w:val="333333"/>
            <w:u w:val="single"/>
          </w:rPr>
          <w:t>Quelle aufrufen</w:t>
        </w:r>
      </w:hyperlink>
    </w:p>
    <w:p>
      <w:pPr>
        <w:pStyle w:val="Source"/>
      </w:pPr>
      <w:r>
        <w:t xml:space="preserve">[R12] BVerwG, Aufbau der Verwaltungsgerichtsbarkeit: </w:t>
      </w:r>
      <w:hyperlink r:id="rId14">
        <w:r>
          <w:rPr>
            <w:color w:val="333333"/>
            <w:u w:val="single"/>
          </w:rPr>
          <w:t>Quelle aufrufen</w:t>
        </w:r>
      </w:hyperlink>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Intern | Redaktion und Verwendung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www.gesetze-im-internet.de/gkg_2004/" TargetMode="External"/><Relationship Id="rId14" Type="http://schemas.openxmlformats.org/officeDocument/2006/relationships/hyperlink" Target="https://www.bverwg.de/rechtsprechung/verwaltungsgerichtsbarkeit/aufbau-der-verwaltungsgerichtsbark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 | Redaktion und Verwendung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