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K02 | 3.0 | 03.10.2026</w:t>
      </w:r>
    </w:p>
    <w:p>
      <w:pPr>
        <w:pStyle w:val="Title"/>
      </w:pPr>
      <w:r>
        <w:t>Antwort auf die Kostenwarnung</w:t>
      </w:r>
    </w:p>
    <w:p>
      <w:pPr>
        <w:pStyle w:val="Subtitle"/>
      </w:pPr>
      <w:r>
        <w:t>Entwurf an Stefan Naegele | Nicht versendet</w:t>
      </w:r>
    </w:p>
    <w:p>
      <w:r>
        <w:t>An: Stefan Naegele &lt;stefan.naegele@gmail.com&gt;</w:t>
      </w:r>
    </w:p>
    <w:p>
      <w:r>
        <w:t>Betreff: Deine Hinweise aus Berlin und das Prozesskostenrisiko</w:t>
      </w:r>
    </w:p>
    <w:p>
      <w:r>
        <w:t>Lieber Stefan,</w:t>
      </w:r>
    </w:p>
    <w:p>
      <w:r>
        <w:t>vielen Dank, dass Du die Verhandlungen begleitest und uns so deutlich auf die Kostenprobleme hinweist. Den wesentlichen Punkt Deiner Nachricht nehmen wir ernst: Wer mit unseren Unterlagen vor Gericht geht, muss vorab erkennen können, dass neben Gerichtskosten insbesondere gegnerische Anwaltskosten und gegebenenfalls weitere Auslagen entstehen können. Eine pauschale Zahl von 114 Euro beschreibt dieses Gesamtrisiko nicht.</w:t>
      </w:r>
    </w:p>
    <w:p>
      <w:r>
        <w:t>Wir haben deshalb die Kosteninformation und die Aufbereitung der Anträge überarbeitet. Dabei trennen wir die Anfechtung eines konkreten Beitragsbescheids von zusätzlichen Feststellungs- oder Zugangsanträgen. Die fachlichen Gutachten bleiben als ausführliche Anlagen erhalten; sie sollen aber nicht unbemerkt weitere Sachanträge und damit zusätzliche Streitgegenstände enthalten.</w:t>
      </w:r>
    </w:p>
    <w:p>
      <w:r>
        <w:t>Bei einem Punkt müssen wir genau unterscheiden: Ein weiterer Beweisantrag erhöht den Streitwert nicht allein durch seine Existenz. Eine tatsächliche Beweisaufnahme kann jedoch Auslagen verursachen. Und eine Formulierung, die inhaltlich einen zusätzlichen selbständigen Anspruch erhebt, kann den Streitwert beeinflussen. Deshalb brauchen wir für die von Dir genannten Beträge die konkreten Streitwertbeschlüsse und Kostenberechnungen. Erst daraus lässt sich feststellen, was das Gericht tatsächlich bewertet hat.</w:t>
      </w:r>
    </w:p>
    <w:p>
      <w:r>
        <w:t>Bitte schicke uns mit Einverständnis der betroffenen Kläger die Aktenzeichen und Verhandlungstage sowie möglichst die vollständigen Anträge, Sitzungsprotokolle, Urteile, Streitwertbeschlüsse und gegnerischen Kostenaufstellungen. Personenbezogene Angaben außerhalb des notwendigen Zusammenhangs können geschwärzt werden. Bitte insbesondere kenntlich machen, ob ein Betrag bereits festgesetzt, nur beantragt oder lediglich mündlich angesprochen wurde.</w:t>
      </w:r>
    </w:p>
    <w:p>
      <w:r>
        <w:t>Deine weitergehende Schlussfolgerung, kein Kläger könne in der Sache Recht bekommen und Gerichte handelten generell abgestimmt, können wir aus diesen Berichten nicht als Tatsache übernehmen. Wir wollen die konkrete Begründung prüfen: Was wurde vorgelegt, welche Tatsachen wurden gewürdigt, worauf beruht die Abweisung und wie wurde der Wert begründet? Nur so lassen sich tatsächliche Fehler von einer für uns ungünstigen, aber rechtlich begründeten Entscheidung unterscheiden.</w:t>
      </w:r>
    </w:p>
    <w:p>
      <w:r>
        <w:t>Auch Projekt 51 wird nicht mit einer Erfolgsgarantie oder einem pauschal begrenzten Kostenrisiko dargestellt. Gerade bei einer eigenständigen Feststellungsklage müssen Zulässigkeit, Verhältnis zu anderen Klagearten und Kosten vorab geprüft werden. Die Erfahrung der Betroffenen soll dabei in die konkrete Überarbeitung einfließen, nicht beiseitegeschoben werden.</w:t>
      </w:r>
    </w:p>
    <w:p>
      <w:r>
        <w:t>Danke für die klare Rückmeldung. Sie hilft uns, Unterlagen und Information an die Nutzer präziser zu machen.</w:t>
      </w:r>
    </w:p>
    <w:p>
      <w:r>
        <w:t>Herzliche Grüße Markus</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K02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K02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