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Q03 | 3.0 | 03.10.2026</w:t>
      </w:r>
    </w:p>
    <w:p>
      <w:pPr>
        <w:pStyle w:val="Title"/>
      </w:pPr>
      <w:r>
        <w:t>Neue Quellen und dokumentierte Änderungen</w:t>
      </w:r>
    </w:p>
    <w:p>
      <w:pPr>
        <w:pStyle w:val="Subtitle"/>
      </w:pPr>
      <w:r>
        <w:t>Ergänzung zu Q01/Q02 | Tatsachen, Autorenbefunde und Prüfaufträge getrennt</w:t>
      </w:r>
    </w:p>
    <w:p>
      <w:pPr>
        <w:pStyle w:val="Heading1"/>
      </w:pPr>
      <w:r>
        <w:t>1. Neue Eingangsquellen</w:t>
      </w:r>
    </w:p>
    <w:p>
      <w:r>
        <w:t>N01: Wilfried Schmitz, Medienkritik, bereitgestellte PDF, 152 Seiten. Die Datei trägt ein Verlags-/Copyrightjahr 2025 und enthält spätere Aktualisierungen; im Text ist ein Stand 15.07.2026 bezeichnet. Für die hier relevante Verwendung maßgeblich sind insbesondere S. 141-152 zum OVG Rheinland-Pfalz. Kein Originalbeschluss in dieser Datei. Autorbewertungen und belastende Motivaussagen werden nicht als eigene Feststellungen übernommen.</w:t>
      </w:r>
    </w:p>
    <w:p>
      <w:r>
        <w:t>N02: Glashaus Technologies gGmbH i.G., Whitepaper ARD-Tagesthemen Meinung, 25.06.2026, 37 Seiten. Original-PDF ausgewertet, insbesondere Methode und Grenzen S. 6-15 sowie grafische Anhänge. Keine eigene Replikation der Rohdaten oder extern validierte Nachcodierung in dieser Revision. P17 fordert vorhandene technische und wissenschaftliche Unterlagen an.</w:t>
      </w:r>
    </w:p>
    <w:p>
      <w:r>
        <w:t>N03: Gesamtgutachten zur Einbindung von O-Tönen mit Parteizuordnung in vier Nachrichtensendungen, übermittelt durch Jens Braun, 17 Seiten. Deckblattstand 16.09.2026; zeitliche Inkonsistenz zur HR-Teilreihe bis 17.09.2026 offen. PDF und beschriebene Verfahren geprüft, die im Bericht verlinkten Roh- und Programmdaten nicht selbst aus dem Cloud-Ordner beschafft oder reproduziert. P16 enthält die gezielte Anfrage.</w:t>
      </w:r>
    </w:p>
    <w:p>
      <w:r>
        <w:t>N04: Analyse Whitepaper.docx, vier Seiten. Vorliegende interpretierende Analyse, kein zweiter unabhängiger Datensatz. Ihre positive Einordnung wird um die detaillierte Trennung von Reproduzierbarkeit, unabhängiger Kalibrierung, Messgegenstand und rechtlichem Schluss ergänzt.</w:t>
      </w:r>
    </w:p>
    <w:p>
      <w:r>
        <w:t>N05: Im Auftrag übermittelte Nachrichten von Stefan Naegele, Jens Braun, ein weiterer Berliner Verhandlungsbericht, die Wiedergabe von NDR-Einwänden und eine Ansbach-Auswertung sowie Eingefügtes Markdown.md. Berichte und frühere Analysepassagen, keine vollständigen Originalverfahrensakten. Relative Zeitangaben wurden nicht zu erfundenen Verhandlungstagen umgerechnet. Politische Bewertungen und Motive sind nicht als erwiesene Tatsachen behandelt.</w:t>
      </w:r>
    </w:p>
    <w:p>
      <w:pPr>
        <w:pStyle w:val="Heading1"/>
      </w:pPr>
      <w:r>
        <w:t>2. Zusätzlich abgeglichene Rechts- und Primärquellen</w:t>
      </w:r>
    </w:p>
    <w:p>
      <w:r>
        <w:t>N06: § 13 RVG, aktuelle amtliche Gebührenregel; Anlage 1 RVG, VV 3100/3104/7002/7008. Grundlage der Rechenbeispiele in K01. URLs: https://www.gesetze-im-internet.de/rvg/__13.html und https://www.gesetze-im-internet.de/rvg/anlage_1.html. Abruf 03.10.2026.</w:t>
      </w:r>
    </w:p>
    <w:p>
      <w:r>
        <w:t>N07: Anlage 2 GKG, Gebührenwerte; Anlage 1 GKG, KV 5110, allgemeines erstinstanzliches VG-Verfahren. URLs: https://www.gesetze-im-internet.de/gkg_2004/anlage_2.html und https://www.gesetze-im-internet.de/gkg_2004/anlage_1.html. Abruf 03.10.2026. Keine individuelle Prüfung der Übergangsfälle aus den Nutzerberichten.</w:t>
      </w:r>
    </w:p>
    <w:p>
      <w:r>
        <w:t>N08: §§ 39, 45, 52, 68 und 71 GKG; § 60 RVG. Antragsumfang, Hilfsanträge, Geldleistungs- und Auffangwert, Rechtsbehelf gegen Streitwertfestsetzung und Übergangsrecht. Amtliche Einzelnormen unter https://www.gesetze-im-internet.de/gkg_2004/ und https://www.gesetze-im-internet.de/rvg/. Anwendung nach konkretem Verfahrens- und Mandatsdatum.</w:t>
      </w:r>
    </w:p>
    <w:p>
      <w:r>
        <w:t>N09: §§ 43, 74, 82, 86, 87b, 88, 98, 99, 105, 108, 121, 154, 155, 162 und 188 VwGO. Keine allgemeine Pflicht zum fertigen Gutachten bei Klageerhebung; konkrete Sachaufklärung; Grenzen der Feststellung; Kosten und Rechtskraft. Amtlicher Gesamttext: https://www.gesetze-im-internet.de/vwgo/. Einzelfallabhängige Voraussetzungen nicht durch allgemeine Muster ersetzt.</w:t>
      </w:r>
    </w:p>
    <w:p>
      <w:r>
        <w:t>N10: Axel Spilcker, FOCUS-Online-Interview mit Joe Sperling vom 22.10.2025, einschließlich der im selben Beitrag wiedergegebenen ZDF-Stellungnahme. Erstquelle für die öffentlich abgegebenen Angaben, keine gerichtliche Bestätigung ihres tatsächlichen Gehalts. URL: https://www.focus.de/kultur/kino-tv/zdf-widerspricht-frontal21-mann-kritisiert-interne-zensur-beim-sender_57a43a84-6b0b-4c3a-8638-2582fba87545.html. Aktueller arbeitsgerichtlicher Stand nicht eigenständig festgestellt.</w:t>
      </w:r>
    </w:p>
    <w:p>
      <w:r>
        <w:t>N11: BVerwG, Beschluss vom 02.03.2020 - GrSen 1.19. Prozessbezogene Notwendigkeit bei privaten Sachverständigenkosten, keine pauschale Erstattungszusage. Amtliche Fundstelle: https://www.bverwg.de/020320BGrSen1.19.0.</w:t>
      </w:r>
    </w:p>
    <w:p>
      <w:r>
        <w:t>N12: BVerwG, Beschluss vom 23.05.2024 - 6 B 70.23. Das konkrete Verfahren zur Programmrüge erhielt einen Streitwert von 63,53 Euro. Diese Fundstelle illustriert die Trennung von grundsätzlicher rechtlicher Bedeutung und individuellem Wert; sie setzt nicht den Wert aller künftigen Klagen fest. https://www.bverwg.de/230524B6B70.23.0.</w:t>
      </w:r>
    </w:p>
    <w:p>
      <w:pPr>
        <w:pStyle w:val="Heading1"/>
      </w:pPr>
      <w:r>
        <w:t>3. Wesentliche neue Korrekturen</w:t>
      </w:r>
    </w:p>
    <w:p>
      <w:r>
        <w:t>Berichtete Behauptung: Das wissenschaftliche Hauptgutachten muss schon bei Klageerhebung vorliegen. Korrektur: kein allgemeines gesetzliches Zulässigkeitserfordernis; fristwahrende Klage, rechtzeitige Substantiierung und interne Pilotfreigabe trennen. Eingearbeitet in A03.23, A08, P00, P08 und P13.14.</w:t>
      </w:r>
    </w:p>
    <w:p>
      <w:r>
        <w:t>Berichtete Behauptung: Mehrere Beweisanträge erhöhen den Wert automatisch auf 10.000 Euro. Korrektur: Anzahl der Beweisanträge, tatsächliche Sachanträge und Beweisauslagen sind verschieden. Eingearbeitet in A04, A09, P00/P13 und K01. Die konkreten Berliner Werte bleiben bis zum Originalbeschluss ungeprüft.</w:t>
      </w:r>
    </w:p>
    <w:p>
      <w:r>
        <w:t>Frühere Aufbereitung: konsolidierter Text ohne beigefügtes vollständiges Originalpaket. Korrektur: Leitband plus Vertiefungsband plus G03 und gesonderte ungekürzte Originalbibliothek. Alte Rechtsfehler werden nicht wiederhergestellt; originale Autorenschaft und Wortlaut bleiben erhalten.</w:t>
      </w:r>
    </w:p>
    <w:p>
      <w:r>
        <w:t>Berichtete Behauptung: Schon die beiden zitierten Sätze im OVG-Beschluss belegen einen Widerspruch. Korrektur: Verpflichtung zur Prüfung substantiierter Einwände und konkrete Unterschreitung der Schwelle können logisch vereinbar sein. Der Originalbeschluss und die entscheidungserheblichen Schriftsätze sind erforderlich. G02.12 und Q04 dokumentieren die Prüfung.</w:t>
      </w:r>
    </w:p>
    <w:p>
      <w:r>
        <w:t>Frühere Verkürzung: KI-Zweitprüfung als vollständige Validierung. Korrektur: N03 unterscheidet selbst rechnerische Konsistenz von Erkennung am Video und menschlicher Kontrolle. G02.7 und P16 verlangen eine Referenzprüfung.</w:t>
      </w:r>
    </w:p>
    <w:p>
      <w:r>
        <w:t>Frühere Pauschalisierung: öffentliche Programme seien insgesamt unzugänglich. Korrektur: Vorhandene Auswertungen belegen nutzbare Teilbestände. Fehlende Mediathekdateien, Geoblocking, nicht vorhandene Transkripte und verweigerte Einsicht erhalten getrennte Status. Eingearbeitet in A03.18/.21, G02.11, P01-P05 und P15.</w:t>
      </w:r>
    </w:p>
    <w:p>
      <w:r>
        <w:t>Frühere Deutung: fehlende dokumentierte Beschwerdekorrektur bedeutet generelle Wirkungslosigkeit. Korrektur: Datenlücke, begründete Zurückweisung und tatsächlich ausbleibende Abhilfe trennen; Originalantworten und Folgebeiträge untersuchen. G02.9 enthält Datenmodell und Codieranforderungen.</w:t>
      </w:r>
    </w:p>
    <w:p>
      <w:pPr>
        <w:pStyle w:val="Heading1"/>
      </w:pPr>
      <w:r>
        <w:t>4. Originale, Versionen und keine unsichtbaren Änderungen</w:t>
      </w:r>
    </w:p>
    <w:p>
      <w:r>
        <w:t>Originalmanifest.json enthält Quellcodes, tatsächliche Dateinamen, Größen und SHA-256-Prüfsummen der ungekürzten Originalkopien. Die Hashwerte belegen Identität der bereitgestellten Kopie, nicht wissenschaftliche Wahrheit. Die vier Originalgutachten wurden nicht umgeschrieben. Aenderungsmanifest.json listet die geänderten und hinzugekommenen Arbeitsmodule; Dokumentenverzeichnis.json verzeichnet den tatsächlichen Lieferbestand.</w:t>
      </w:r>
    </w:p>
    <w:p>
      <w:pPr>
        <w:pStyle w:val="Heading1"/>
      </w:pPr>
      <w:r>
        <w:t>5. Nicht beschaffte Originale</w:t>
      </w:r>
    </w:p>
    <w:p>
      <w:r>
        <w:t>Nicht verlässlich vorliegend sind der OVG-Beschluss 7 A 10424/25.OVG, die konkret gemeinte Ansbacher Entscheidung zum V-Gutachten, die in den Berliner Berichten behandelten vollständigen Gerichtsakten und Kostenfestsetzungen sowie die vollständigen Rohdaten-/Methodenpakete der neuen Studien. Die Recherche ergab Anknüpfungspunkte, aber keinen Ersatz für diese Originale. Die jeweiligen Aussagen sind deshalb im Paket als Autorenangabe, Nutzerbericht oder offene Prüfaufgabe bezeichnet.</w:t>
      </w:r>
    </w:p>
    <w:p>
      <w:r>
        <w:t>Ergänzende Kostenquelle: § 123 ZPO, entsprechend § 166 VwGO. Prozesskostenhilfe lässt die Verpflichtung zur Erstattung gegnerischer Kosten unberührt. Amtlicher Normtext: https://www.gesetze-im-internet.de/zpo/__123.html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iberation Sans" w:hAnsi="Liberation Sans"/>
        <w:sz w:val="16"/>
      </w:rPr>
      <w:t xml:space="preserve">Q03 | 3.0 | 03.10.2026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rFonts w:ascii="Liberation Sans" w:hAnsi="Liberation Sans"/>
        <w:color w:val="5B6572"/>
        <w:sz w:val="16"/>
      </w:rPr>
      <w:t>BEITRAGSSTOPPER / PROJEKT 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24364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Liberation Sans" w:hAnsi="Liberation Sans"/>
      <w:b/>
      <w:color w:val="24364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Liberation Sans" w:hAnsi="Liberation Sans"/>
      <w:i/>
      <w:iCs/>
      <w:color w:val="596572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Q03 | Beitragsstopper / Projekt 51</dc:title>
  <dc:subject>Modulare Arbeitsfassung; individuelle rechtliche und fachliche Freigabe erforderlich</dc:subject>
  <dc:creator>Freiheitskanzlei - Arbeitsunterlagen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