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Subtitle"/>
      </w:pPr>
      <w:r>
        <w:t>P14  |  Nur mit identifizierter Anspruchsgrundlage und zutreffender Klageart</w:t>
      </w:r>
    </w:p>
    <w:p>
      <w:pPr>
        <w:pStyle w:val="Title"/>
      </w:pPr>
      <w:r>
        <w:t>Konkreter Zugang: Verpflichtungs- oder Leistungsklage</w:t>
      </w:r>
    </w:p>
    <w:p>
      <w:pPr>
        <w:pStyle w:val="Subtitle"/>
      </w:pPr>
      <w:r>
        <w:t>Alternative zum isolierten Feststellungsverfahren</w:t>
      </w:r>
    </w:p>
    <w:p>
      <w:r/>
      <w:r>
        <w:rPr>
          <w:b/>
        </w:rPr>
        <w:t>Vor Verwendung zwingend:</w:t>
      </w:r>
      <w:r>
        <w:t xml:space="preserve"> Datenhalter, Datenbestand, Anspruchsgrundlage, Rechtsnatur der Entscheidung, Vorverfahren, Klagefrist, Gericht und Schutzbereich sind zu prüfen. Diese Vorlage schafft keinen gesetzlich nicht bestehenden Zugang. Von den nachstehenden Antragsfassungen ist nur die sachgerechte zu verwenden. Sie sind nicht automatisch kumulativ zu stellen.</w:t>
      </w:r>
    </w:p>
    <w:p>
      <w:r>
        <w:t>An das {zuständige Verwaltungsgericht}</w:t>
        <w:br/>
        <w:t>{Gerichtsanschrift}</w:t>
        <w:br/>
        <w:t>Klägerseite: {Name und Anschrift}</w:t>
        <w:br/>
        <w:t>Beklagte: {tatsächlicher Rechtsträger, Vertretung, Anschrift}</w:t>
      </w:r>
    </w:p>
    <w:p>
      <w:pPr>
        <w:pStyle w:val="Heading1"/>
      </w:pPr>
      <w:r>
        <w:t>1. Antragsfassung V - Zugang setzt eine behördliche Entscheidung voraus</w:t>
      </w:r>
    </w:p>
    <w:p>
      <w:r>
        <w:t>Die Beklagte wird unter Aufhebung des Bescheids vom {Datum} in Gestalt des Widerspruchsbescheids vom {Datum; nur wenn erforderlich und vorhanden} verpflichtet, der Klägerseite Zugang zu {abschließend bestimmter vorhandener Informationsbestand, Zeitraum, Umfang und zulässige Form} zu gewähren.</w:t>
      </w:r>
    </w:p>
    <w:p>
      <w:r>
        <w:t>Nur wenn die rechtlichen Voraussetzungen und der Entscheidungsspielraum dies tragen, hilfsweise: Die Beklagte wird verpflichtet, über den Antrag vom {Datum} bezüglich {bestimmter offener Teil} unter Beachtung der Rechtsauffassung des Gerichts erneut zu entscheiden. Ein Bescheidungsantrag ist kein universeller Ersatz für eine fehlende Anspruchsgrundlage.</w:t>
      </w:r>
    </w:p>
    <w:p>
      <w:pPr>
        <w:pStyle w:val="Heading1"/>
      </w:pPr>
      <w:r>
        <w:t>2. Antragsfassung L - unmittelbar geschuldete tatsächliche Leistung</w:t>
      </w:r>
    </w:p>
    <w:p>
      <w:r>
        <w:t>Die Beklagte wird verurteilt, der Klägerseite {konkret bestimmte tatsächliche Zugangsleistung zu vorhandenen Daten, Zeitraum, Umfang und Form} zu ermöglichen. Diese Fassung setzt voraus, dass nach der tatsächlich einschlägigen Rechtsgrundlage eine solche Leistung geschuldet wird und nicht zunächst ein Verwaltungsakt zu erstreiten ist.</w:t>
      </w:r>
    </w:p>
    <w:p>
      <w:r>
        <w:t>In der gewählten Fassung wird zusätzlich beantragt, der Beklagten die Kosten des Verfahrens aufzuerlegen.</w:t>
      </w:r>
    </w:p>
    <w:p>
      <w:pPr>
        <w:pStyle w:val="Heading1"/>
      </w:pPr>
      <w:r>
        <w:t>3. Tatsächlicher Antrag und Entscheidung</w:t>
      </w:r>
    </w:p>
    <w:p>
      <w:r>
        <w:t>Am {Datum} beantragte die Klägerseite Zugang zu {exakte Datenpositionen}. Die Daten sind bei der Beklagten vorhanden, wie sich aus {Beleg} ergibt. Die Beklagte antwortete am {Datum} mit {Inhalt}. Die Entscheidung wurde am {Datum} bekanntgegeben. Ein erforderliches Vorverfahren wurde {belegt durchgeführt / nach konkreter Vorschrift entbehrlich}. Die gegebenenfalls geltende Klagefrist wird durch {Berechnung} gewahrt. Die Originalentscheidung einschließlich Belehrung liegt vor.</w:t>
      </w:r>
    </w:p>
    <w:p>
      <w:r>
        <w:t>Bei noch ausbleibender Entscheidung wird nicht automatisch eine Untätigkeitsklage als zulässig angesehen. § 75 VwGO, die passende Antragsart, die gesetzliche Wartezeit, ein zureichender Grund und die sonstigen Zulässigkeitsvoraussetzungen sind anhand des konkreten Falles zu prüfen. Eine im Privatschreiben gesetzte Zwei-Wochen-Frist ersetzt diese Prüfung nicht. [R03]</w:t>
      </w:r>
    </w:p>
    <w:p>
      <w:pPr>
        <w:pStyle w:val="Heading1"/>
      </w:pPr>
      <w:r>
        <w:t>4. Anspruchsgrundlage und Datenkategorie</w:t>
      </w:r>
    </w:p>
    <w:p>
      <w:r>
        <w:t>Der geltend gemachte Anspruch beruht auf {genaue anwendbare Norm oder konkret begründete Zugangsregel}. Ihr persönlicher und sachlicher Anwendungsbereich ist eröffnet, weil {konkrete Begründung}. Die begehrten Informationen sind {Einordnung der vorhandenen Informationen}. Ausschlusstatbestände und besondere rundfunkrechtliche Ausnahmen lauten {vollständig und einschlägig} und greifen hier {warum nicht / nur teilweise}.</w:t>
      </w:r>
    </w:p>
    <w:p>
      <w:r>
        <w:t>Beim WDR ist insbesondere § 55a WDR-Gesetz mit seinen Ausnahmen zu prüfen. Diese Regel wird nicht auf ZDF oder Deutschlandradio übertragen. Eine wissenschaftliche Archivregel ist auf ihren persönlichen Anwendungsbereich, ihre Bedingungen und die tatsächliche Zugangspraxis zu untersuchen. Ein gleichheitsrechtlicher Ansatz setzt konkrete vergleichbare zugelassene Nutzungen und das Fehlen eines sachlichen Differenzierungsgrunds voraus; die bloße Bezeichnung wissenschaftlich genügt nicht. [R14-R16; R22]</w:t>
      </w:r>
    </w:p>
    <w:p>
      <w:r>
        <w:t>Das Urteil 6 C 5.24 beschreibt das rechtliche Interesse an einer Untersuchung, ersetzt jedoch keine fehlende spezielle Zugangsnorm. Die vorliegende Klage stützt sich daher nicht allein auf eine vermeintlich dort bereits zugesprochene allgemeine Datenherausgabepflicht. [R01]</w:t>
      </w:r>
    </w:p>
    <w:p>
      <w:pPr>
        <w:pStyle w:val="Heading1"/>
      </w:pPr>
      <w:r>
        <w:t>5. Erforderlicher Umfang und Rechte Dritter</w:t>
      </w:r>
    </w:p>
    <w:p>
      <w:r>
        <w:t>Erforderlich sind {konkrete Informationen} für {bestimmten Erkenntniszweck}. Der Antrag betrifft vorhandene Daten, nicht die erstmalige Erstellung eines neuen Gutachtens oder einer nicht existierenden Klassifikation. Die angebotenen milderen Formen lauten {Einsicht, Auszug, begrenzter Export, Pseudonymisierung, wissenschaftlich kontrollierter Zugang}. Das Fortbestehen der praktischen Erkenntnismöglichkeit unter diesen Bedingungen wird durch {fachliche Erklärung} beschrieben.</w:t>
      </w:r>
    </w:p>
    <w:p>
      <w:r>
        <w:t>Soweit die Beklagte Schutzrechte geltend macht, betreffen diese nach ihrer eigenen Begründung {genauer Teil}. Die Klägerseite entgegnet {norm- und tatsachenbezogene Antwort}. Eine Teilzugangslösung ist vorrangig zu prüfen, soweit das einschlägige Recht dies vorsieht und der Rest wissenschaftlich sinnvoll bleibt. Der Schutz vertraulicher Redaktionsquellen wird nicht pauschal bestritten.</w:t>
      </w:r>
    </w:p>
    <w:p>
      <w:pPr>
        <w:pStyle w:val="Heading1"/>
      </w:pPr>
      <w:r>
        <w:t>6. Zuständigkeit und Verhältnis zum alten Beitragsprozess</w:t>
      </w:r>
    </w:p>
    <w:p>
      <w:r>
        <w:t>Bei der Verpflichtungsklage ist die konkrete Regelung des § 52 Nr. 3 VwGO zu prüfen, bei einer allgemeinen Leistungsklage regelmäßig § 52 Nr. 5 VwGO, jeweils vorbehaltlich besonderer Regeln. Das angerufene Gericht ist nach {Norm und Tatsachen} zuständig. Unterschiedliche Begehren gegen mehrere Anstalten sind nicht ohne Weiteres bei demselben Gericht zu verbinden. [R03]</w:t>
      </w:r>
    </w:p>
    <w:p>
      <w:r>
        <w:t>Das alte Beitragsverfahren {Angaben} betraf {Bescheid und Zeitraum}. Das vorliegende Begehren betrifft die konkret beantragte Zugangsleistung und nicht die Aufhebung jenes alten Urteils. Die Abgrenzung wird anhand der damals und heute begehrten Rechtsfolgen dargelegt. Bestehende Bindungen werden nicht durch den bloßen Hinweis auf einen neuen Antrag beseitigt. [R03, § 121]</w:t>
      </w:r>
    </w:p>
    <w:p>
      <w:pPr>
        <w:pStyle w:val="Heading1"/>
      </w:pPr>
      <w:r>
        <w:t>7. Beweismittel, Anlagen und Schluss</w:t>
      </w:r>
    </w:p>
    <w:p>
      <w:r>
        <w:t>Beweis: Antrag und Nachweis seines Zugangs; vollständige Entscheidung und Belehrung; Bestandsnachweis; präzise Datenliste; tatsächlicher wissenschaftlicher Projekt- und Qualifikationsnachweis; dokumentierte Alternativen; gegebenenfalls fachliche Erklärung ihrer methodischen Bedeutung. Konkrete Beweisanträge werden nach A04 angepasst; Rechtsfragen werden nicht an einen Sachverständigen delegiert.</w:t>
      </w:r>
    </w:p>
    <w:p>
      <w:r>
        <w:t>Die Klägerseite macht sich ausschließlich die ausgewählte, vollständig individualisierte Antragsfassung und Begründung zu eigen. Nicht passende Varianten sind vor Unterzeichnung entfernt. Gerichtskostenfreiheit oder ein Beitragseinziehungsstopp werden durch diese Zugangsklage nicht behauptet.</w:t>
      </w:r>
    </w:p>
    <w:p>
      <w:pPr>
        <w:pStyle w:val="Heading1"/>
      </w:pPr>
      <w:r>
        <w:t>Ergänzung zur Abgrenzung vom Programm-Endbeweis</w:t>
      </w:r>
    </w:p>
    <w:p>
      <w:r>
        <w:t>Der zu prüfende Anspruch betrifft {konkret vorhandene Informationen} nach {tatsächlich einschlägige Anspruchsgrundlage}. Sein Bestehen wird nicht allein aus der behaupteten mangelnden Ausgewogenheit des Gesamtprogramms hergeleitet. Ob ein bestimmter Zweck oder ein rechtliches Interesse nach der einschlägigen Norm erforderlich ist, wird dort geprüft. Ein abgeschlossenes Programm-Großgutachten wird nicht ohne Rechtsgrundlage zur Voraussetzung dieses anderen Streitgegenstands erklärt.</w:t>
      </w:r>
    </w:p>
    <w:p>
      <w:r>
        <w:t>Die verlangten vorhandenen Informationen sind von erstmals herzustellenden Analysen zu unterscheiden. Teilzugang, vorhandene Standardformate, Schwärzung und Einsicht werden ausdrücklich geprüft. Eine fehlende freiwillige Auskunft begründet nicht automatisch einen gerichtlich durchsetzbaren Anspruch. Umfang, Klageart, Vorverfahren, Frist und örtliche Zuständigkeit bleiben landes- und fallbezogen zu bestimmen. [R03; R13-R16; P15]</w:t>
      </w:r>
    </w:p>
    <w:p>
      <w:r>
        <w:t>{Ort}, {Datum}</w:t>
      </w:r>
    </w:p>
    <w:p>
      <w:r>
        <w:br/>
        <w:t>________________________________________</w:t>
        <w:br/>
        <w:t>{Vorname Nachname / Prozessbevollmächtigte Person}</w:t>
      </w:r>
    </w:p>
    <w:p>
      <w:pPr>
        <w:pStyle w:val="Heading1"/>
      </w:pPr>
      <w:r>
        <w:t>Fundstellen dieses Moduls</w:t>
      </w:r>
    </w:p>
    <w:p>
      <w:r>
        <w:t>R-Codes bezeichnen geprüfte externe Primärquellen, U-Codes die bereitgestellten Ausgangsdokumente. Die ausführliche Quellen- und Begrenzungsdokumentation steht in Q01. Die jeweiligen Normfassungen und der weitere Verfahrensgang sind vor einer späteren Einreichung erneut zu kontrollieren.</w:t>
      </w:r>
    </w:p>
    <w:p>
      <w:r>
        <w:rPr>
          <w:sz w:val="18"/>
        </w:rPr>
        <w:t>R01 | BVerwG, Urteil vom 15.10.2025 - 6 C 5.24. Amtlicher Volltext; insbesondere Rn. 21-50. Kein allgemeiner Auskunftsanspruch; verfassungsrechtliche Evidenzkontrolle, Gesamtangebot, Zeitraum und Substantiierung.</w:t>
        <w:br/>
        <w:t>https://www.bverwg.de/151025U6C5.24.0</w:t>
      </w:r>
    </w:p>
    <w:p>
      <w:r>
        <w:rPr>
          <w:sz w:val="18"/>
        </w:rPr>
        <w:t>R03 | Verwaltungsgerichtsordnung. Amtlicher konsolidierter Gesetzestext; insbesondere §§ 42, 43, 52, 58, 60, 67, 74, 75, 81, 82, 84, 86, 88, 94, 98-101, 108, 113, 121, 123, 124a, 153, 154, 161, 166, 173, 188. Anwendung stets nach konkreter Prozesslage.</w:t>
        <w:br/>
        <w:t>https://www.gesetze-im-internet.de/vwgo/BJNR000170960.html</w:t>
      </w:r>
    </w:p>
    <w:p>
      <w:r>
        <w:rPr>
          <w:sz w:val="18"/>
        </w:rPr>
        <w:t>R14 | DRA: Regelungen zum Archivzugang. Auf offizieller DRA-Seite angebotene gemeinsame Regelungen, vier Seiten: wissenschaftliche Legitimation, Bestätigung, Zugangsvoraussetzungen, Rechte Dritter und begrenzte Nutzung. Kein pauschaler Anspruch auf Datenexport.</w:t>
        <w:br/>
        <w:t>https://www.dra.de/fileadmin/www.dra.de/downloads/unser-service-fuer-sie/Regelungen_zum_Archivzugang.pdf</w:t>
      </w:r>
    </w:p>
    <w:p>
      <w:r>
        <w:rPr>
          <w:sz w:val="18"/>
        </w:rPr>
        <w:t>R15 | WDR-Gesetz, Fassung ab 01.04.2026, § 55a. Informationsfreiheitsgesetz NRW gilt für WDR, jedoch mit ausdrücklichen Ausnahmen unter anderem für journalistisch-redaktionelle Informationen. Nicht auf alle Anstalten übertragbar.</w:t>
        <w:br/>
        <w:t>https://recht.nrw.de/lrgv/gesetz/01042026-gesetz-ueber-den-westdeutschen-rundfunk-koeln/</w:t>
      </w:r>
    </w:p>
    <w:p>
      <w:r>
        <w:rPr>
          <w:sz w:val="18"/>
        </w:rPr>
        <w:t>R16 | Rheinland-Pfalz: Verwaltungsvorschrift zum Landestransparenzgesetz. Offizielles Transparenzportal, Ziffer 3.8 zu § 3 Abs. 7 LTranspG. Sonderstellung öffentlich-rechtlicher Rundfunkanstalten; daher kein unbesehen auf das ZDF übertragbarer NRW-IFG-Anspruch.</w:t>
        <w:br/>
        <w:t>https://open.rlp.de/fileadmin/open.rlp/Downloads/Transparenz/VV_TranspG_RP.pdf</w:t>
      </w:r>
    </w:p>
    <w:p>
      <w:r>
        <w:rPr>
          <w:sz w:val="18"/>
        </w:rPr>
        <w:t>R22 | Grundgesetz. Insbesondere Art. 2 Abs. 1, Art. 3 Abs. 1, Art. 5 Abs. 1 und 3, Art. 19 Abs. 4, Art. 100 Abs. 1. Normtexte von den jeweils nur vorgeschlagenen Ableitungen unterscheiden.</w:t>
        <w:br/>
        <w:t>https://www.gesetze-im-internet.de/gg/</w:t>
      </w:r>
    </w:p>
    <w:sectPr w:rsidR="00FC693F" w:rsidRPr="0006063C" w:rsidSect="00034616">
      <w:headerReference w:type="default" r:id="rId9"/>
      <w:footerReference w:type="default" r:id="rId10"/>
      <w:pgSz w:w="11906" w:h="16838"/>
      <w:pgMar w:top="1191" w:right="1304" w:bottom="1134" w:left="1304" w:header="510" w:footer="51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right"/>
    </w:pPr>
    <w:r>
      <w:rPr>
        <w:rFonts w:ascii="Liberation Sans" w:hAnsi="Liberation Sans"/>
        <w:sz w:val="16"/>
      </w:rPr>
      <w:t xml:space="preserve">P14 | 3.0 | 03.10.2026   </w:t>
    </w:r>
    <w:fldSimple w:instr="PAGE"/>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r>
      <w:rPr>
        <w:rFonts w:ascii="Liberation Sans" w:hAnsi="Liberation Sans"/>
        <w:color w:val="5B6572"/>
        <w:sz w:val="16"/>
      </w:rPr>
      <w:t>BEITRAGSSTOPPER / PROJEKT 51</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widowControl/>
      <w:spacing w:after="110" w:line="269" w:lineRule="auto"/>
    </w:pPr>
    <w:rPr>
      <w:rFonts w:ascii="Liberation Serif" w:hAnsi="Liberation Serif"/>
      <w:color w:val="20252A"/>
      <w:sz w:val="23"/>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widowControl/>
      <w:spacing w:before="240" w:after="140"/>
      <w:outlineLvl w:val="0"/>
    </w:pPr>
    <w:rPr>
      <w:rFonts w:asciiTheme="majorHAnsi" w:eastAsiaTheme="majorEastAsia" w:hAnsiTheme="majorHAnsi" w:cstheme="majorBidi" w:ascii="Liberation Sans" w:hAnsi="Liberation Sans"/>
      <w:b/>
      <w:bCs/>
      <w:color w:val="243647"/>
      <w:sz w:val="28"/>
      <w:szCs w:val="28"/>
    </w:rPr>
  </w:style>
  <w:style w:type="paragraph" w:styleId="Heading2">
    <w:name w:val="heading 2"/>
    <w:basedOn w:val="Normal"/>
    <w:next w:val="Normal"/>
    <w:link w:val="Heading2Char"/>
    <w:uiPriority w:val="9"/>
    <w:unhideWhenUsed/>
    <w:qFormat/>
    <w:rsid w:val="00FC693F"/>
    <w:pPr>
      <w:keepNext/>
      <w:keepLines/>
      <w:widowControl/>
      <w:spacing w:before="240" w:after="140"/>
      <w:outlineLvl w:val="1"/>
    </w:pPr>
    <w:rPr>
      <w:rFonts w:asciiTheme="majorHAnsi" w:eastAsiaTheme="majorEastAsia" w:hAnsiTheme="majorHAnsi" w:cstheme="majorBidi" w:ascii="Liberation Sans" w:hAnsi="Liberation Sans"/>
      <w:b/>
      <w:bCs/>
      <w:color w:val="243647"/>
      <w:sz w:val="24"/>
      <w:szCs w:val="26"/>
    </w:rPr>
  </w:style>
  <w:style w:type="paragraph" w:styleId="Heading3">
    <w:name w:val="heading 3"/>
    <w:basedOn w:val="Normal"/>
    <w:next w:val="Normal"/>
    <w:link w:val="Heading3Char"/>
    <w:uiPriority w:val="9"/>
    <w:unhideWhenUsed/>
    <w:qFormat/>
    <w:rsid w:val="00FC693F"/>
    <w:pPr>
      <w:keepNext/>
      <w:keepLines/>
      <w:widowControl/>
      <w:spacing w:before="240" w:after="140"/>
      <w:outlineLvl w:val="2"/>
    </w:pPr>
    <w:rPr>
      <w:rFonts w:asciiTheme="majorHAnsi" w:eastAsiaTheme="majorEastAsia" w:hAnsiTheme="majorHAnsi" w:cstheme="majorBidi" w:ascii="Liberation Sans" w:hAnsi="Liberation Sans"/>
      <w:b/>
      <w:bCs/>
      <w:color w:val="243647"/>
      <w:sz w:val="23"/>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pBdr>
        <w:bottom w:val="single" w:sz="8" w:space="4" w:color="4F81BD" w:themeColor="accent1"/>
      </w:pBdr>
      <w:spacing w:after="140" w:line="240" w:lineRule="auto" w:before="0"/>
      <w:contextualSpacing/>
    </w:pPr>
    <w:rPr>
      <w:rFonts w:asciiTheme="majorHAnsi" w:eastAsiaTheme="majorEastAsia" w:hAnsiTheme="majorHAnsi" w:cstheme="majorBidi" w:ascii="Liberation Sans" w:hAnsi="Liberation Sans"/>
      <w:b/>
      <w:color w:val="243647"/>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keepNext/>
      <w:numPr>
        <w:ilvl w:val="1"/>
      </w:numPr>
      <w:spacing w:before="0" w:after="180"/>
    </w:pPr>
    <w:rPr>
      <w:rFonts w:asciiTheme="majorHAnsi" w:eastAsiaTheme="majorEastAsia" w:hAnsiTheme="majorHAnsi" w:cstheme="majorBidi" w:ascii="Liberation Sans" w:hAnsi="Liberation Sans"/>
      <w:b w:val="0"/>
      <w:i/>
      <w:iCs/>
      <w:color w:val="596572"/>
      <w:spacing w:val="15"/>
      <w:sz w:val="20"/>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P14 | Beitragsstopper / Projekt 51</dc:title>
  <dc:subject>Modulare Arbeitsfassung; individuelle rechtliche und fachliche Freigabe erforderlich</dc:subject>
  <dc:creator>Freiheitskanzlei - Arbeitsunterlagen</dc:creator>
  <cp:keywords/>
  <dc:description>KI-unterstuetzt erstellte Arbeitsfassung. Verantwortliche Uebernahme und Einzelfallpruefung erforderlich.</dc:description>
  <cp:lastModifiedBy/>
  <cp:revision>1</cp:revision>
  <dcterms:created xsi:type="dcterms:W3CDTF">2013-12-23T23:15:00Z</dcterms:created>
  <dcterms:modified xsi:type="dcterms:W3CDTF">2013-12-23T23:15:00Z</dcterms:modified>
  <cp:category/>
</cp:coreProperties>
</file>