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P13  |  Rechtsfortbildungsansatz; keine als gesichert ausgegebene Klageart</w:t>
      </w:r>
    </w:p>
    <w:p>
      <w:pPr>
        <w:pStyle w:val="Title"/>
      </w:pPr>
      <w:r>
        <w:t>Begründung der Pilot-Feststellungsklage</w:t>
      </w:r>
    </w:p>
    <w:p>
      <w:pPr>
        <w:pStyle w:val="Subtitle"/>
      </w:pPr>
      <w:r>
        <w:t>Konkrete Datenverweigerung und zumutbare Substantiierung im Beitragsrechtsverhältnis</w:t>
      </w:r>
    </w:p>
    <w:p>
      <w:pPr>
        <w:pStyle w:val="Heading1"/>
      </w:pPr>
      <w:r>
        <w:t>P13.1 Konkretes Ziel und unvermeidbare Zulässigkeitsfrage</w:t>
      </w:r>
    </w:p>
    <w:p>
      <w:r>
        <w:t>Die Klägerseite begehrt die Feststellung der in P11 bezeichneten konkreten Bindung der Beklagten in ihrem fortbestehenden Beitragsrechtsverhältnis. Sie wendet sich gegen die nach den bezeichneten Schreiben aktuell eingenommene Position, die Klägerseite müsse eine bestimmte wissenschaftliche Auswertung beibringen, obwohl ihr der Zugang zu den genau hierfür benötigten, nachgewiesenermaßen bei der Beklagten vorhandenen Daten trotz eines begrenzten Zugangsvorschlags verweigert werde. Die behauptete Inkonsistenz soll konkret, nicht anhand einer abstrakten Frage nach dem Recht auf Beweise beurteilt werden.</w:t>
      </w:r>
    </w:p>
    <w:p>
      <w:r>
        <w:t>Die Klägerseite verkennt nicht, dass prozessuale Darlegungs- und Beweisfragen grundsätzlich im jeweiligen Hauptverfahren zu behandeln sind. Gerade deshalb wird weder eine abstrakte Festlegung der Beweislast durch ein anderes Gericht noch die nachträgliche Korrektur eines rechtskräftigen Beitragsurteils beantragt. Zur Prüfung gestellt wird die These, dass die in den aktuellen Schreiben konkretisierte Position der Beklagten eine eigenständig relevante Bindung aus dem fortbestehenden gesetzlichen Beitragsverhältnis verletzt. Ob diese These ein feststellungsfähiges Rechtsverhältnis betrifft, bedarf einer eigenständigen Begründung und wird nicht allein durch die Überschrift dieser Klage entschieden. [R03, § 43]</w:t>
      </w:r>
    </w:p>
    <w:p>
      <w:pPr>
        <w:pStyle w:val="Heading1"/>
      </w:pPr>
      <w:r>
        <w:t>P13.2 Individueller Ablauf</w:t>
      </w:r>
    </w:p>
    <w:p>
      <w:r>
        <w:t>Zwischen den Beteiligten besteht das Beitragsverhältnis {Beitragsnummer und aktuelle Anknüpfungstatsachen}. Das frühere Verfahren {Gericht, Aktenzeichen} betraf {genaue Bescheide, Zeiträume und Anträge}. Es endete mit {Entscheidung, Datum, Zustellung, Rechtsmittel und verifizierter Rechtskraftstatus}. Die entscheidungstragenden Ausführungen lauteten {konkrete Wiedergabe mit Seitenangabe}. Der volle Wortlaut der Entscheidung und die relevanten damaligen Schriftsätze werden vorgelegt, damit ihre Reichweite und die tatsächlichen Gründe nachvollzogen werden können. [PF1]</w:t>
      </w:r>
    </w:p>
    <w:p>
      <w:r>
        <w:t>Im damaligen Verfahren waren tatsächlich folgende Untersuchungen und Anträge vorgelegt: {Liste mit Einreichungsnachweisen}. Nicht behauptet wird, sämtliche im Projekt vorhandenen Gutachten seien ohne entsprechenden Aktenbeleg schon Gegenstand dieses Verfahrens gewesen. Soweit die damalige Abweisung auf Fristen, fehlender Zulässigkeit oder einem unabhängigen materiellen Grund beruhte, wird dies ausdrücklich offengelegt und nicht als Folge eines Rohdatenmangels umgedeutet.</w:t>
      </w:r>
    </w:p>
    <w:p>
      <w:r>
        <w:t>Nach diesem Verfahrensstand wandte sich die Klägerseite am {Datum} an die Beklagte mit dem auf {konkreter Bestand, Datenart, Zeitraum und Nutzungsform} begrenzten Ersuchen. Die Beklagte antwortete am {Datum} mit {genauer Inhalt und rechtlicher oder tatsächlicher Begründung}. Am {Datum} wurde eine mildere Form {genaue Form} angeboten. Die Beklagte hielt ihre Position am {Datum} aufrecht beziehungsweise beschränkte sie auf {Angabe}. Die tatsächliche Existenz und Zuordnung der verlangten Daten wird durch {eigene Bestandsauskunft/Katalog/sonstiger konkreter Nachweis} belegt. [PF3]</w:t>
      </w:r>
    </w:p>
    <w:p>
      <w:r>
        <w:t>Parallel beziehungsweise ergänzend wurden folgende zumutbare Alternativen untersucht: {öffentliche Quellen, Archivberatung, wissenschaftlicher Zugang, konkrete Nutzungsversuche und Ergebnisse}. Erhaltene Inhalte und angebotene Zugänge sind vollständig aufgeführt. Die verbleibende konkrete Lücke lautet {Beschreibung und fachliche Erklärung}. Nicht vorhandene Bestände und bei anderen Anstalten liegende Daten werden von einer eigenen Verweigerung der Beklagten getrennt. [PF4]</w:t>
      </w:r>
    </w:p>
    <w:p>
      <w:r>
        <w:t>Die gegenwärtige Streitlage wird durch {aktuelles konkretes Schreiben/Begehren und bezeichnete nicht identisch rechtskräftig erledigte Beitragsperioden} bestimmt. In diesem Zusammenhang verlangt die Beklagte tatsächlich {genaue Aussage zur Substantiierung}. Ohne eine solche aktuelle konkrete Gegenposition wird keine bloß hypothetische zukünftige Verfahrenslage zum Streitgegenstand gemacht. [PF2, PF5]</w:t>
      </w:r>
    </w:p>
    <w:p>
      <w:pPr>
        <w:pStyle w:val="Heading1"/>
      </w:pPr>
      <w:r>
        <w:t>P13.3 Gegenwärtiges Rechtsverhältnis</w:t>
      </w:r>
    </w:p>
    <w:p>
      <w:r>
        <w:t>Ein feststellungsfähiges Rechtsverhältnis setzt eine durch Rechtsnormen geordnete konkrete Beziehung zwischen den Beteiligten voraus. Die Klägerseite knüpft an die fortdauernde gesetzliche Beitragspflicht und die bereits konkretisierte Auseinandersetzung um ihre verfassungsrechtliche Rechtfertigung an. Sie behauptet, aus diesem Verhältnis ergebe sich jedenfalls eine begrenzte Pflicht der Beklagten, bei ihrer eigenen Mitwirkung und ihrer konkreten Forderung nach Substantiierung die nachgewiesenen, von ihr mitbeeinflussten Erkenntnisbedingungen zu berücksichtigen. [R03, § 43; R22]</w:t>
      </w:r>
    </w:p>
    <w:p>
      <w:r>
        <w:t>Diese behauptete Bindung wird nicht als bereits ausdrücklich in BVerwG 6 C 5.24 ausgesprochener individueller Auskunftsanspruch bezeichnet. Sie ist eine hier zu begründende Rechtsableitung aus dem konkreten Beitragsverhältnis und den Anforderungen wirksamer Rechtsverfolgung. Der Antrag ist auf eigene vorhandene Daten der Beklagten, auf den bestimmten Untersuchungsgegenstand und auf eine tatsächlich angebotene beschränkte Zugangsform begrenzt. Die Beklagte soll nicht zur umfassenden Verantwortung für sämtliche Archive des öffentlich-rechtlichen Rundfunks erklärt werden.</w:t>
      </w:r>
    </w:p>
    <w:p>
      <w:r>
        <w:t>Das wichtigste Gegenargument lautet, dass auch in dieser Begrenzung nur die Zulässigkeit einer prozessualen Einwendung und damit kein selbständiges materielles Rechtsverhältnis betroffen sei. Die Klägerseite hält dem entgegen, dass {konkrete außerprozessuale aktuelle Regelungswirkung und eigenständiger Gegenstand nach den tatsächlichen Schreiben darlegen}. Diese individuelle Begründung ist unerlässlich. Die abstrakte Aussage, ein Bürger müsse sich verteidigen können, kann sie nicht ersetzen.</w:t>
      </w:r>
    </w:p>
    <w:p>
      <w:pPr>
        <w:pStyle w:val="Heading1"/>
      </w:pPr>
      <w:r>
        <w:t>P13.4 Berechtigtes Feststellungsinteresse</w:t>
      </w:r>
    </w:p>
    <w:p>
      <w:r>
        <w:t>Die aktuelle Unsicherheit besteht in {welche konkrete Rechtsposition muss jetzt geklärt werden und welche nachteilige Wirkung besteht?}. Die Entscheidung soll nicht nur eine allgemeine politische oder wissenschaftliche Aussage produzieren. Sie soll die bereits streitige Beziehung der Beteiligten in einem wiederkehrenden, tatsächlich aktuellen Beitragssachverhalt klären. Der Bezug zu einer nur möglichen künftigen Prozessführung allein würde ein gegenwärtiges Feststellungsinteresse nicht ohne Weiteres begründen.</w:t>
      </w:r>
    </w:p>
    <w:p>
      <w:r>
        <w:t>Die Klägerseite legt deshalb dar, welche konkrete Handlung oder Rechtsposition der Beklagten bereits feststeht, warum eine baldige Klärung erforderlich ist und welche praktische Bedeutung eine Feststellung gerade zwischen diesen Beteiligten hätte: {Angaben}. Die bloße Tatsache, Mitglied eines bundesweiten Projekts zu sein, begründet kein individuelles Feststellungsinteresse. Ebenso ist das Interesse an der Beanstandung eines rechtskräftig abgeschlossenen Verfahrens nicht mit einer aktuellen Rechtsbeziehung gleichzusetzen.</w:t>
      </w:r>
    </w:p>
    <w:p>
      <w:pPr>
        <w:pStyle w:val="Heading1"/>
      </w:pPr>
      <w:r>
        <w:t>P13.5 Subsidiarität: der entscheidende Prüfpunkt</w:t>
      </w:r>
    </w:p>
    <w:p>
      <w:r>
        <w:t>§ 43 Abs. 2 VwGO schließt die Feststellung grundsätzlich aus, soweit die Rechte durch Gestaltungs- oder Leistungsklage verfolgt werden können oder hätten verfolgt werden können. Der Antrag darf daher nicht nur eine versäumte Bescheidanfechtung oder eine eigentlich statthafte Verpflichtungs- beziehungsweise Leistungsklage auf Zugang umformulieren. Diese gesetzliche Grenze bleibt bestehen, auch wenn die Sache für viele Beitragspflichtige bedeutsam ist. [R03]</w:t>
      </w:r>
    </w:p>
    <w:p>
      <w:r>
        <w:t>Im konkreten Fall ist deshalb zu prüfen und vorzutragen: {Gibt es einen aktuellen anfechtbaren Bescheid? Läuft bereits ein Beitragsverfahren, in dem genau diese Frage aufgeworfen werden kann? Besteht ein bestimmter Anspruch auf Datenzugang? Ist die Zugangserteilung als Verwaltungsakt oder tatsächliche Leistung zu verfolgen? Welche Rechtsbehelfe waren bereits eröffnet?}. Jede dieser Fragen ist anhand der Originalunterlagen zu beantworten, nicht mit einer standardisierten Verneinung.</w:t>
      </w:r>
    </w:p>
    <w:p>
      <w:r>
        <w:t>Die Klägerseite begründet die Wahl der Feststellung im vorliegenden Fall damit, dass {tatsächlich tragfähige Begründung: eigenständiger konkreter Gegenstand, nicht durch einen gegenwärtigen vorrangigen Rechtsbehelf vollständig zu klären}. Die Rechtsprechung erkennt, dass das Verhältnis der Klagearten nach dem konkreten Rechtsschutzziel zu beurteilen ist. Die Entscheidung BVerwG 9 B 8.24 liefert jedoch keine allgemeine Ausnahme für isolierte Beweis- oder Substantiierungsfragen. Ihre besondere Fallkonstellation darf nicht als Freibrief übernommen werden. [R17]</w:t>
      </w:r>
    </w:p>
    <w:p>
      <w:r>
        <w:t>Falls ein laufender Hauptprozess die streitige Rechtsfrage aufnehmen kann, ist auch eine dortige verfahrensrechtliche Behandlung beziehungsweise, bei einem echten präjudiziellen Rechtsverhältnis, eine Zwischenfeststellung zu prüfen. Daraus folgt wiederum kein Anspruch auf ein isoliertes Gutachtenurteil über allgemeine Beweislastregeln. Die Entscheidung BVerwG 7 B 49.10 ist insoweit eine fallbezogene Prüfhilfe und kein Ersatz für ein konkretes feststellungsfähiges Rechtsverhältnis. [R18]</w:t>
      </w:r>
    </w:p>
    <w:p>
      <w:pPr>
        <w:pStyle w:val="Heading1"/>
      </w:pPr>
      <w:r>
        <w:t>P13.6 Rechtskraft und neue Vorgänge</w:t>
      </w:r>
    </w:p>
    <w:p>
      <w:r>
        <w:t>Das alte Urteil bindet die Beteiligten im gesetzlich bestimmten Umfang. Der nachfolgende Zugangsantrag ist nicht schon deshalb ein Mittel zur Wiedereröffnung der alten Beitragsfrage, weil er zeitlich nach dem Urteil gestellt wurde. Ebenso ist eine neue privatgutachterliche Rechtsauffassung nicht automatisch eine neue Tatsache oder ein gesetzlicher Wiederaufnahmegrund. Die Klägerseite beantragt deshalb keine erneute Entscheidung über die in PF1 rechtskräftig entschiedenen Bescheide. [R03, §§ 121, 153; R19]</w:t>
      </w:r>
    </w:p>
    <w:p>
      <w:r>
        <w:t>Die Abgrenzung des vorliegenden Gegenstands lautet konkret: {altes Klagebegehren mit Zeitraum} gegenüber {neuer, eigenständiger aktueller Regelungskonflikt}. Dabei reicht nicht die Aussage, damals sei über Zahlung und heute über Rechtsschutz gestritten worden. Zu erläutern ist, welche nun begehrte Rechtsfolge nicht bereits von der Bindungswirkung erfasst ist und weshalb sie nicht lediglich den unveränderten Zahlungsstreit erneut eröffnen soll. Das Gericht wird um Prüfung dieser konkreten Abgrenzung gebeten.</w:t>
      </w:r>
    </w:p>
    <w:p>
      <w:r>
        <w:t>Soweit eine neue Zugangsforderung einen eigenen Streitgegenstand begründet, bleibt die Frage der passenden Zugangs- und Klageart gesondert zu beantworten. Gerade diese Unterscheidung verhindert, dass die Rechtskraft des Bescheidprozesses und der möglicherweise neue Streit um bestimmte Informationen miteinander verwechselt werden. Ein neues Datenbegehren allein macht nicht jede beliebige Feststellung zum früheren Prozess zulässig.</w:t>
      </w:r>
    </w:p>
    <w:p>
      <w:pPr>
        <w:pStyle w:val="Heading1"/>
      </w:pPr>
      <w:r>
        <w:t>P13.7 Gericht und richtiger Beklagter</w:t>
      </w:r>
    </w:p>
    <w:p>
      <w:r>
        <w:t>Die in Anspruch genommene Beklagte ist {konkrete Landesrundfunkanstalt}. Die ihr vorgeworfene konkrete Position und der Datenbestand sind ihr nach {Belegen} zuzuordnen. Ablehnungen von ZDF, Deutschlandradio oder einem anderen Archiv werden gegebenenfalls als Kontext der eigenen Beschaffungsbemühungen vorgelegt. Sie werden nicht ohne Rechtsgrund als Handlungen der hiesigen Beklagten behandelt.</w:t>
      </w:r>
    </w:p>
    <w:p>
      <w:r>
        <w:t>Die örtliche Zuständigkeit wird aus {konkreter Vorschrift und Variante} hergeleitet. Bei der isolierten Feststellung ist insbesondere § 52 Nr. 5 VwGO zu prüfen. Der Wohnsitz der Klägerseite und das politische Projektziel einer bundesweiten Verteilung ersetzen diese Prüfung nicht. Das hier angerufene Gericht ist zuständig, weil {konkrete tatsächliche Begründung}. Ohne tragfähige Begründung ist die Gerichtswahl vor Einreichung zu korrigieren. [R03; R21]</w:t>
      </w:r>
    </w:p>
    <w:p>
      <w:pPr>
        <w:pStyle w:val="Heading1"/>
      </w:pPr>
      <w:r>
        <w:t>P13.8 Materielle Begründung der Konsistenzthese</w:t>
      </w:r>
    </w:p>
    <w:p>
      <w:r>
        <w:t>Das Bundesverwaltungsgericht hat in 6 C 5.24 eine verfassungsrechtliche Evidenzkontrolle des Gesamtprogrammangebots eröffnet und hierfür substantiierte, regelmäßig wissenschaftlich fundierte Anhaltspunkte verlangt. Diese Kombination setzt tatsächliche Erkenntnismöglichkeiten voraus. Sie erlaubt weder die ersatzlose Abschaffung der Darlegungslast noch die Gleichsetzung eines abstrakt eröffneten Rechtswegs mit praktisch wirksamem Rechtsschutz. Die Stellungnahme G01 erläutert den Unterschied zwischen einem fertigen Gesamtbeweis, einem methodisch geordneten Anfangsvortrag und einer konkret benannten Erkenntnislücke. [R01, Rn. 47-50; R22]</w:t>
      </w:r>
    </w:p>
    <w:p>
      <w:r>
        <w:t>Die Klägerseite vertritt, dass die Beklagte in dem konkret bezeichneten gesetzlichen Beitragsverhältnis an einer widerspruchsfreien und zumutbaren Erkenntnisgewinnung mitzuwirken hat, soweit eigene vorhandene Daten betroffen sind, berechtigte Schutzinteressen gewahrt werden und das Begehren sachlich eingegrenzt ist. Eine Verpflichtung zur erstmaligen Erstellung einer inhaltlichen Gesamtauswertung wird nicht behauptet. Gegenstand ist vielmehr der Widerspruch zwischen der tatsächlich erhobenen bestimmten Substantiierungsforderung und der zugleich aufrechterhaltenen Verweigerung eines zumutbaren Zugangs zu ihrer notwendigen Grundlage.</w:t>
      </w:r>
    </w:p>
    <w:p>
      <w:r>
        <w:t>Für diese Rechtsableitung sprechen nach Auffassung der Klägerseite der Anspruch auf wirksamen Rechtsschutz, die gesetzlichen Mitwirkungsmöglichkeiten im Verwaltungsprozess und die unmittelbare Verknüpfung von Beitragspflicht und verfassungsrechtlichem Programmvorteil. Die Gegenposition, lediglich ein beliebiger außenstehender Dritter verlange ohne Bezug Daten, greift bei dem hier bezeichneten aktuellen Beitragskonflikt zu kurz. Gleichwohl wird nicht behauptet, Art. 19 Abs. 4 GG schaffe unabhängig von allen weiteren Voraussetzungen einen umfassenden neuen Archivzugangsanspruch. [R03, § 86; R22; R01]</w:t>
      </w:r>
    </w:p>
    <w:p>
      <w:r>
        <w:t>Die Mannheimer Kritik an der privat zu finanzierenden Gesamtuntersuchung zeigt, dass die praktische Erkenntnisvorleistung eine eigenständige rechtliche Frage ist. Sie bestätigt aber nicht schon die hier gewählte Klageart oder die behauptete Nebenpflicht. Der VGH hat gerade keine solche Feststellungsklage zugesprochen und die Beitragsklage abgewiesen. Seine Ausführungen werden deshalb als Argument zur Zumutbarkeit und nicht als bindender Nachweis des vorliegenden Anspruchs verwendet. [R02, S. 30-32]</w:t>
      </w:r>
    </w:p>
    <w:p>
      <w:r>
        <w:t>Der besonders enge Tatsachenzusammenhang im vorliegenden Fall besteht in {exakte Gegenüberstellung: verlangte Auswertung, vorhandene konkrete Daten, dokumentierte Unerreichbarkeit anderweitiger gleichwertiger Quellen, angebotene milde Nutzungsform, aufrechterhaltene Antwort}. Die Klägerseite bittet um Beurteilung dieses Zusammenhangs, nicht um eine allgemeine Vermutung gegen alle Rundfunkanstalten. Ein fehlender Datenzugang wird auch hier nicht als materieller Beweis einer unausgewogenen Berichterstattung ausgegeben.</w:t>
      </w:r>
    </w:p>
    <w:p>
      <w:pPr>
        <w:pStyle w:val="Heading1"/>
      </w:pPr>
      <w:r>
        <w:t>P13.9 Gegenargumente und Begrenzung des Begehrens</w:t>
      </w:r>
    </w:p>
    <w:p>
      <w:r>
        <w:t>Dem Einwand, die Programme seien öffentlich gewesen, wird mit den konkret dokumentierten heutigen Bestands- und Zugangslücken begegnet. Die bloße Ausstrahlung zu einem früheren Zeitpunkt beantwortet nicht die Frage nach einer heute nachvollziehbaren historischen Untersuchung. Umgekehrt wird eine vorhandene zumutbare Archiv- oder Forschungsnutzung nicht ignoriert. Die Klägerseite legt deren reale Prüfung in PF4 offen. [R13; R14]</w:t>
      </w:r>
    </w:p>
    <w:p>
      <w:r>
        <w:t>Dem Einwand rechtlich geschützter Redaktionsbereiche wird die Begrenzung auf bereits veröffentlichte Fassungen und vorhandene sachliche Erschließungsdaten sowie die angebotene beschränkte Zugangsform gegenübergestellt. Daraus folgt nicht, dass diese Daten stets frei herauszugeben wären. Die jeweils geltende Schutzregel, die konkret betroffene Information und eine mögliche mildere Form sind zu prüfen. [R13-R16]</w:t>
      </w:r>
    </w:p>
    <w:p>
      <w:r>
        <w:t>Dem Einwand unzulässiger Beweislastumkehr wird entgegengehalten, dass der Antrag keinen vollständigen positiven Nachweis ausgewogener Berichterstattung verlangt und keine Schweigefiktion beansprucht. Die Klägerseite muss ihre greifbaren Tatsachen selbst darlegen. Die begehrte Feststellung soll nur die konkret auf eigene Datenverweigerung bezogene Position der Beklagten erfassen.</w:t>
      </w:r>
    </w:p>
    <w:p>
      <w:r>
        <w:t>Der schwerwiegendste Einwand bleibt, dass der Antrag trotz dieser Begrenzung nur eine prozessuale Einwendung betrifft und daher im Hauptverfahren aufzugehen hat. Dies lässt sich nicht durch Formulierungen sicher ausschließen. Die eigenständige aktuelle Wirkung und das Fehlen einer vorrangigen effektiven Klageart müssen im konkreten Fall positiv dargelegt werden. Kann dies nicht gelingen, ist die Zugangs- beziehungsweise Aufklärungsfrage auf dem in P00 und P14 beschriebenen anderen Weg zu verfolgen, statt eine vermeintlich gesicherte Zulässigkeit zu behaupten.</w:t>
      </w:r>
    </w:p>
    <w:p>
      <w:pPr>
        <w:pStyle w:val="Heading1"/>
      </w:pPr>
      <w:r>
        <w:t>P13.10 Tatsachen und Beweismittel</w:t>
      </w:r>
    </w:p>
    <w:p>
      <w:r>
        <w:t>Die tatsächlichen Behauptungen werden durch die vollständigen Schreiben, Empfangsnachweise, Bestandsauskünfte und dokumentierten Rechercheversuche belegt. Ein Sachverständiger kann erforderlichenfalls beurteilen, welche wissenschaftliche Aussage mit dem verfügbaren Bestand möglich ist und ob eine konkret angebotene Alternative die bezeichnete Erkenntnislücke methodisch schließt. Er entscheidet nicht, ob § 43 VwGO die Klage zulässt oder ob die behauptete Nebenpflicht rechtlich besteht.</w:t>
      </w:r>
    </w:p>
    <w:p>
      <w:r>
        <w:t>Die hierfür gegebenenfalls vorbereiteten Beweisanträge lauten {ausgewählte und angepasste Teile von A04, insbesondere B.8}. Die Grundgesamtheit aller Programme soll nicht erst in diesem isolierten Feststellungsverfahren vollständig inhaltlich untersucht werden. Der Beweisgegenstand ist zunächst die konkret behauptete Abhängigkeit der Erkenntnis von den bestimmten nicht zugänglichen Daten.</w:t>
      </w:r>
    </w:p>
    <w:p>
      <w:pPr>
        <w:pStyle w:val="Heading1"/>
      </w:pPr>
      <w:r>
        <w:t>P13.11 Schluss und individuelle Anlagen</w:t>
      </w:r>
    </w:p>
    <w:p>
      <w:r>
        <w:t>Die Klägerseite bittet um Prüfung des konkret bezeichneten Rechtsverhältnisses und der Voraussetzungen des § 43 VwGO. Sollte das Gericht den Streitgegenstand anders verstehen oder weitere konkrete Angaben zur Abgrenzung für erforderlich halten, wird um einen entsprechenden Hinweis gebeten. Damit wird keine Verpflichtung des Gerichts behauptet, in jedem Fall alle politischen und wissenschaftlichen Fragen des Projekts in der Sache zu beantworten. Eine Unzulässigkeitsentscheidung kann eine Sachentscheidung ausschließen. [R03, §§ 43, 86 Abs. 3, 88]</w:t>
      </w:r>
    </w:p>
    <w:p>
      <w:r/>
      <w:r>
        <w:rPr>
          <w:b/>
        </w:rPr>
        <w:t>PF1:</w:t>
      </w:r>
      <w:r>
        <w:t xml:space="preserve"> Altes Urteil, zugrundeliegende Anträge, entscheidende Schriftsätze, Zustellung und Rechtsmittelstand. </w:t>
      </w:r>
      <w:r>
        <w:rPr>
          <w:b/>
        </w:rPr>
        <w:t>PF2:</w:t>
      </w:r>
      <w:r>
        <w:t xml:space="preserve"> Aktuelles konkret bezeichnetes Beitragsrechtsverhältnis und abgegrenzte Programmrüge. </w:t>
      </w:r>
      <w:r>
        <w:rPr>
          <w:b/>
        </w:rPr>
        <w:t>PF3:</w:t>
      </w:r>
      <w:r>
        <w:t xml:space="preserve"> Enger Datenantrag, Existenz-/Verfügungsnachweis, Antwort, milderer Vorschlag und weitere Entscheidung. </w:t>
      </w:r>
      <w:r>
        <w:rPr>
          <w:b/>
        </w:rPr>
        <w:t>PF4:</w:t>
      </w:r>
      <w:r>
        <w:t xml:space="preserve"> Dokumentierte alternative Beschaffungsversuche, erhaltene Inhalte und verbleibende konkrete Lücke. </w:t>
      </w:r>
      <w:r>
        <w:rPr>
          <w:b/>
        </w:rPr>
        <w:t>PF5:</w:t>
      </w:r>
      <w:r>
        <w:t xml:space="preserve"> Gegenwärtige bestimmte Substantiierungsforderung der Beklagten. </w:t>
      </w:r>
      <w:r>
        <w:rPr>
          <w:b/>
        </w:rPr>
        <w:t>PF6:</w:t>
      </w:r>
      <w:r>
        <w:t xml:space="preserve"> Tatsächliche wissenschaftliche Mitwirkungs- und Methodenbestätigung. </w:t>
      </w:r>
      <w:r>
        <w:rPr>
          <w:b/>
        </w:rPr>
        <w:t>PF7:</w:t>
      </w:r>
      <w:r>
        <w:t xml:space="preserve"> G01 in verantworteter Fassung. </w:t>
      </w:r>
      <w:r>
        <w:rPr>
          <w:b/>
        </w:rPr>
        <w:t>PF8:</w:t>
      </w:r>
      <w:r>
        <w:t xml:space="preserve"> Gegebenenfalls fachlicher Bericht zur Eignung beziehungsweise Untauglichkeit der konkret angebotenen Alternative.</w:t>
      </w:r>
    </w:p>
    <w:p>
      <w:r>
        <w:t>Der Antrag und die Unterschrift stehen in P11. Nicht vorhandene Anlagen werden nicht als beigefügt bezeichnet. Der Streitwert wird anhand des konkreten Interesses nach den gesetzlichen Vorschriften geschätzt; ein Betrag von 5.000 Euro wäre lediglich ein möglicher Auffangansatz bei fehlenden genügenden Anhaltspunkten, keine zugesicherte Obergrenze und kein für jede Konstellation richtiger Wert. [R04, § 52]</w:t>
      </w:r>
    </w:p>
    <w:p>
      <w:pPr>
        <w:pStyle w:val="Heading1"/>
      </w:pPr>
      <w:r>
        <w:t>P13.13 Abgrenzung gegenüber dem Einwand einer unzulässigen Normkontrolle</w:t>
      </w:r>
    </w:p>
    <w:p>
      <w:r>
        <w:t>Der im Nutzerbericht wiedergegebene Einwand des NDR beziehungsweise eines RBB-Vertreters wird in seinem rechtlichen Kern ernst genommen: § 43 VwGO erlaubt keine beliebige abstrakte Feststellung, ein Staatsvertrag sei ungültig, und keine Umgehung einer möglichen oder möglich gewesenen Anfechtungs- oder Leistungsklage. Die hier vorgeschlagene Fassung muss deshalb ein konkretes Rechtsverhältnis und eine eigenständige gegenwärtige Bindung bezeichnen. Dass das Projekt 51 Verfahren anstrebt, ändert daran nichts. [R03, § 43]</w:t>
      </w:r>
    </w:p>
    <w:p>
      <w:r>
        <w:t>Die Klägerseite verfolgt nicht die abstrakte Frage, ob sich das Rundfunksystem kontrollieren lassen sollte. Die behauptete konkrete Rechtsfolge lautet {Rechtsposition aus P11 präzisieren}. Ihr aktueller tatsächlicher Anlass besteht in {bezeichnete Schreiben und Daten}. Es muss zusätzlich begründet werden, warum diese Frage nicht lediglich eine Beweis- oder Darlegungsfrage in einem vorhandenen Beitragsprozess ist. Fehlt eine solche eigenständige Anknüpfung, kann die Feststellungsklage trotz des umfangreichen Gutachtenmaterials unzulässig sein. Ein tatsächliches Gerichtszitat wird ohne Originalbeleg nicht behauptet.</w:t>
      </w:r>
    </w:p>
    <w:p>
      <w:pPr>
        <w:pStyle w:val="Heading1"/>
      </w:pPr>
      <w:r>
        <w:t>P13.14 Kein vorweggenommener empirischer Endbeweis als pauschale Zugangsvoraussetzung</w:t>
      </w:r>
    </w:p>
    <w:p>
      <w:r>
        <w:t>Die Frage nach einer eigenständigen Daten- oder Mitwirkungsposition darf nicht mit der materiellen Programmrüge verwechselt werden. Für diesen Feststellungsansatz wird nicht pauschal behauptet, ein abgeschlossenes Gesamtprogrammgutachten müsse bereits bei Klageerhebung vorliegen. Das würde gerade den behaupteten Erkenntniskonflikt vorwegnehmen. Erforderlich bleibt aber die konkrete Begründung, welches Erkenntnismittel für welche erhebliche Tatsachenfrage benötigt wird und welche gegenwärtige eigene Rechtsposition betroffen ist.</w:t>
      </w:r>
    </w:p>
    <w:p>
      <w:r>
        <w:t>Die neuen Studien können diesen Bedarf präzisieren: Sie zeigen verfügbare Teilbestände, methodische Grenzen und bestimmte Verfügbarkeitsprobleme. Sie beweisen nicht allein den beanspruchten Zugang und erst recht nicht die Zulässigkeit einer davon unabhängigen Feststellung. Ein anderes Gericht kann über einen Beitragsprozess zudem nicht durch eine abstrakte Vorentscheidung zur Beweislast gesteuert werden. Auskunft und Unterlagen werden deshalb konkret auf die Beteiligten, den Bestand und den Zweck bezogen. [N02; N03; R03]</w:t>
      </w:r>
    </w:p>
    <w:p>
      <w:pPr>
        <w:pStyle w:val="Heading1"/>
      </w:pPr>
      <w:r>
        <w:t>P13.15 Rechtskraft, Kosten und Umfang der gewollten Entscheidung</w:t>
      </w:r>
    </w:p>
    <w:p>
      <w:r>
        <w:t>Die frühere Abweisung wird mit vollständigem Tenor und tragenden Gründen offengelegt. Neue Dokumente beseitigen ihre Bindungswirkung nicht automatisch. Die aktuelle Streitlage muss nach Gegenstand und Zeitraum abgrenzbar sein; ein bloß neuer rechtlicher Blick auf denselben rechtskräftig entschiedenen Streitgegenstand reicht nicht. [R03, § 121]</w:t>
      </w:r>
    </w:p>
    <w:p>
      <w:r>
        <w:t>Für die Feststellung wird kein auf den früheren Beitragsbetrag zwingend begrenzter Streitwert versprochen. Über die Anwendbarkeit des Auffangwerts, anderer Wertgesichtspunkte und etwaiger weiterer Ansprüche ist anhand des tatsächlichen Antrags zu entscheiden. Gegenüber der reinen Bescheidanfechtung kann das Kostenrisiko deutlich anders sein. K01 dokumentiert nur Rechenbeispiele, keine verbindliche Wertfestsetzung. Eine weitere Zugangsklage wird nicht stillschweigend hilfsweise mit erhoben. [R04, §§ 39, 45, 52]</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R17 | BVerwG, Beschluss vom 08.08.2024 - 9 B 8.24. Fallbezogene Grenzen der Subsidiarität der Feststellungsklage. Keine generelle Erlaubnis zur isolierten Klärung abstrakter Beweisfragen.</w:t>
        <w:br/>
        <w:t>https://www.bverwg.de/de/080824B9B8.24.0</w:t>
      </w:r>
    </w:p>
    <w:p>
      <w:r>
        <w:rPr>
          <w:sz w:val="18"/>
        </w:rPr>
        <w:t>R18 | BVerwG, Beschluss vom 14.02.2011 - 7 B 49.10. Zwischenfeststellung im Zusammenhang mit einem bestehenden Hauptverfahren; eigenständiges präjudizielles Rechtsverhältnis erforderlich.</w:t>
        <w:br/>
        <w:t>https://www.bverwg.de/de/140211B7B49.10.0</w:t>
      </w:r>
    </w:p>
    <w:p>
      <w:r>
        <w:rPr>
          <w:sz w:val="18"/>
        </w:rPr>
        <w:t>R19 | BVerwG, Urteil vom 14.06.2017 - 8 C 7.16. Wiederaufgreifen und Rechtskraft nur unter den jeweiligen besonderen gesetzlichen Voraussetzungen; nicht durch bloß neues Gutachten garantiert.</w:t>
        <w:br/>
        <w:t>https://www.bverwg.de/de/140617U8C7.16.0</w:t>
      </w:r>
    </w:p>
    <w:p>
      <w:r>
        <w:rPr>
          <w:sz w:val="18"/>
        </w:rPr>
        <w:t>R21 | BVerwG, Beschluss vom 03.09.2024 - 6 AV 2.24. Rundfunkbeitragsrecht und örtliche Zuständigkeit bei mehreren Wohnsitzen; § 52 Nr. 3 und Nr. 5 VwGO.</w:t>
        <w:br/>
        <w:t>https://ssl.bverwg.de/de/030924B6AV2.24.0</w:t>
      </w:r>
    </w:p>
    <w:p>
      <w:r>
        <w:rPr>
          <w:sz w:val="18"/>
        </w:rPr>
        <w:t>R22 | Grundgesetz. Insbesondere Art. 2 Abs. 1, Art. 3 Abs. 1, Art. 5 Abs. 1 und 3, Art. 19 Abs. 4, Art. 100 Abs. 1. Normtexte von den jeweils nur vorgeschlagenen Ableitungen unterscheiden.</w:t>
        <w:br/>
        <w:t>https://www.gesetze-im-internet.de/gg/</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P13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P13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