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P12 | 3.0 | 03.10.2026</w:t>
      </w:r>
    </w:p>
    <w:p>
      <w:pPr>
        <w:pStyle w:val="Title"/>
      </w:pPr>
      <w:r>
        <w:t>Inhaltsverzeichnis der Feststellungsklage</w:t>
      </w:r>
    </w:p>
    <w:p>
      <w:pPr>
        <w:pStyle w:val="Subtitle"/>
      </w:pPr>
      <w:r>
        <w:t>Nur bei ausdrücklicher individueller Freigabe dieses Verfahrenswegs</w:t>
      </w:r>
    </w:p>
    <w:p>
      <w:r>
        <w:t>P13.1 Konkretes Ziel und unvermeidbare Zulässigkeitsfrage</w:t>
      </w:r>
    </w:p>
    <w:p>
      <w:r>
        <w:t>P13.2 Individueller Ablauf</w:t>
      </w:r>
    </w:p>
    <w:p>
      <w:r>
        <w:t>P13.3 Gegenwärtiges Rechtsverhältnis</w:t>
      </w:r>
    </w:p>
    <w:p>
      <w:r>
        <w:t>P13.4 Berechtigtes Feststellungsinteresse</w:t>
      </w:r>
    </w:p>
    <w:p>
      <w:r>
        <w:t>P13.5 Subsidiarität: der entscheidende Prüfpunkt</w:t>
      </w:r>
    </w:p>
    <w:p>
      <w:r>
        <w:t>P13.6 Rechtskraft und neue Vorgänge</w:t>
      </w:r>
    </w:p>
    <w:p>
      <w:r>
        <w:t>P13.7 Gericht und richtiger Beklagter</w:t>
      </w:r>
    </w:p>
    <w:p>
      <w:r>
        <w:t>P13.8 Materielle Begründung der Konsistenzthese</w:t>
      </w:r>
    </w:p>
    <w:p>
      <w:r>
        <w:t>P13.9 Gegenargumente und Begrenzung des Begehrens</w:t>
      </w:r>
    </w:p>
    <w:p>
      <w:r>
        <w:t>P13.10 Tatsachen und Beweismittel</w:t>
      </w:r>
    </w:p>
    <w:p>
      <w:r>
        <w:t>P13.11 Schluss und individuelle Anlagen</w:t>
      </w:r>
    </w:p>
    <w:p>
      <w:r>
        <w:t>P13.13 Abgrenzung gegenüber dem Einwand einer unzulässigen Normkontrolle</w:t>
      </w:r>
    </w:p>
    <w:p>
      <w:r>
        <w:t>P13.14 Kein vorweggenommener empirischer Endbeweis als pauschale Zugangsvoraussetzung</w:t>
      </w:r>
    </w:p>
    <w:p>
      <w:r>
        <w:t>P13.15 Rechtskraft, Kosten und Umfang der gewollten Entscheidung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304" w:bottom="1134" w:left="130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Liberation Sans" w:hAnsi="Liberation Sans"/>
        <w:sz w:val="16"/>
      </w:rPr>
      <w:t xml:space="preserve">P12 | 3.0 | 03.10.2026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rFonts w:ascii="Liberation Sans" w:hAnsi="Liberation Sans"/>
        <w:color w:val="5B6572"/>
        <w:sz w:val="16"/>
      </w:rPr>
      <w:t>BEITRAGSSTOPPER / PROJEKT 51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24364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2436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24364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0"/>
      <w:contextualSpacing/>
    </w:pPr>
    <w:rPr>
      <w:rFonts w:asciiTheme="majorHAnsi" w:eastAsiaTheme="majorEastAsia" w:hAnsiTheme="majorHAnsi" w:cstheme="majorBidi" w:ascii="Liberation Sans" w:hAnsi="Liberation Sans"/>
      <w:b/>
      <w:color w:val="243647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Liberation Sans" w:hAnsi="Liberation Sans"/>
      <w:i/>
      <w:iCs/>
      <w:color w:val="596572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P12 | Beitragsstopper / Projekt 51</dc:title>
  <dc:subject>Modulare Arbeitsfassung; individuelle rechtliche und fachliche Freigabe erforderlich</dc:subject>
  <dc:creator>Freiheitskanzlei - Arbeitsunterlagen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