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P10  |  RISIKOBEHAFTETER PILOT - anwaltliche Einzelfallfreigabe erforderlich</w:t>
      </w:r>
    </w:p>
    <w:p>
      <w:pPr>
        <w:pStyle w:val="Title"/>
      </w:pPr>
      <w:r>
        <w:t>Feststellungsklage zum konkreten Erkenntniszugang</w:t>
      </w:r>
    </w:p>
    <w:p>
      <w:pPr>
        <w:pStyle w:val="Subtitle"/>
      </w:pPr>
      <w:r>
        <w:t>Deckblatt | Projekt 51</w:t>
      </w:r>
    </w:p>
    <w:p>
      <w:r>
        <w:t>An das {nach § 52 VwGO konkret zuständige Verwaltungsgericht}</w:t>
        <w:br/>
        <w:t>{Gerichtsanschrift}</w:t>
      </w:r>
    </w:p>
    <w:p>
      <w:r/>
      <w:r>
        <w:rPr>
          <w:b/>
        </w:rPr>
        <w:t>Klägerseite:</w:t>
      </w:r>
      <w:r>
        <w:t xml:space="preserve"> {Name, ladungsfähige Anschrift}.</w:t>
        <w:br/>
      </w:r>
      <w:r>
        <w:rPr>
          <w:b/>
        </w:rPr>
        <w:t>Beklagte:</w:t>
      </w:r>
      <w:r>
        <w:t xml:space="preserve"> {konkret in Anspruch genommene Landesrundfunkanstalt, Vertretung, Anschrift}.</w:t>
        <w:br/>
      </w:r>
      <w:r>
        <w:rPr>
          <w:b/>
        </w:rPr>
        <w:t>Beitragsverhältnis:</w:t>
      </w:r>
      <w:r>
        <w:t xml:space="preserve"> {Beitragsnummer und aktueller Gegenstand}.</w:t>
        <w:br/>
      </w:r>
      <w:r>
        <w:rPr>
          <w:b/>
        </w:rPr>
        <w:t>Früheres Verfahren:</w:t>
      </w:r>
      <w:r>
        <w:t xml:space="preserve"> {Gericht, Aktenzeichen, Entscheidung; tatsächlichen Rechtskraftstatus angeben}.</w:t>
        <w:br/>
      </w:r>
      <w:r>
        <w:rPr>
          <w:b/>
        </w:rPr>
        <w:t>Neuer Konflikt:</w:t>
      </w:r>
      <w:r>
        <w:t xml:space="preserve"> {enger Zugangsantrag, Antwort und gegenwärtige gegensätzliche Rechtsposition}.</w:t>
      </w:r>
    </w:p>
    <w:p>
      <w:r>
        <w:t>Die Anträge und die Unterschrift stehen in P11, das Inhaltsverzeichnis in P12 und die Begründung in P13. P08 dokumentiert die interne Einzelfallfreigabe und wird nicht automatisch als Gerichtsanlage verwendet. Der tatsächliche Anlagenbestand PF1-PF8 wird am Ende von P13 individualisiert.</w:t>
      </w:r>
    </w:p>
    <w:p>
      <w:r/>
      <w:r>
        <w:rPr>
          <w:b/>
        </w:rPr>
        <w:t>Verwendungsgrenze:</w:t>
      </w:r>
      <w:r>
        <w:t xml:space="preserve"> Diese Vorlage erhält das Ziel, die behauptete Unvereinbarkeit von eigener Datenverweigerung und entgegengehaltener Substantiierungslast zur gerichtlichen Prüfung zu stellen. Die isolierte Feststellungsfähigkeit dieses Begehrens ist jedoch rechtlich nicht gesichert. Ein neuer Zugangsantrag beseitigt weder die Subsidiarität nach § 43 Abs. 2 VwGO noch die Rechtskraft eines alten Beitragsurteils. Ein bloßer Verweis auf diese Vorlage genügt nicht zur Beantwortung dieser Einwände.</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P10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P10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