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P00  |  INTERN - nicht automatisch an Gerichte versenden</w:t>
      </w:r>
    </w:p>
    <w:p>
      <w:pPr>
        <w:pStyle w:val="Title"/>
      </w:pPr>
      <w:r>
        <w:t>Projekt 51: Verfahrens- und Freigabeplan</w:t>
      </w:r>
    </w:p>
    <w:p>
      <w:pPr>
        <w:pStyle w:val="Subtitle"/>
      </w:pPr>
      <w:r>
        <w:t>Ausgangspunkt sind konkrete Rechtsschutzbarrieren, nicht 51 ungeprüft identische Klagen</w:t>
      </w:r>
    </w:p>
    <w:p>
      <w:pPr>
        <w:pStyle w:val="Heading1"/>
      </w:pPr>
      <w:r>
        <w:t>1. Das Projektziel und die entscheidende Korrektur</w:t>
      </w:r>
    </w:p>
    <w:p>
      <w:r>
        <w:t>Das im Archiv zuletzt entwickelte Ziel ist ernst zu nehmen: Bereits unterlegene Beitragspflichtige sollen die Frage klären lassen, ob ihnen eine hohe wissenschaftliche Substantiierung entgegengehalten werden kann, wenn notwendige Erkenntnisgrundlagen nachweislich nicht zugänglich gemacht werden. Die neue Fassung reduziert dieses Anliegen nicht stillschweigend auf eine normale Programmbeschwerde oder eine beliebige Informationsklage. Sie unterscheidet jedoch zwischen dem inhaltlich relevanten Konsistenzproblem und der noch offenen Zulässigkeit einer isolierten Feststellungsklage hierzu.</w:t>
      </w:r>
    </w:p>
    <w:p>
      <w:r>
        <w:t>Die Bezeichnung Feststellungsklage löst drei Probleme nicht von selbst: einen feststellungsfähigen konkreten Rechtszustand, den Vorrang anderer Klagearten und die Rechtskraft des alten Beitragsurteils. Eine nachträgliche Ablehnung eines Datenersuchens kann einen neuen Zugangsstreit auslösen, ohne eine erneute Entscheidung über den alten Bescheid zu erlauben. P10-P13 arbeiten die gewünschte Feststellungsvariante als begründungsbedürftigen Pilot aus. Sie ist ausdrücklich nicht die sichere Serienroute. [R03, §§ 43, 121]</w:t>
      </w:r>
    </w:p>
    <w:p>
      <w:pPr>
        <w:pStyle w:val="Heading1"/>
      </w:pPr>
      <w:r>
        <w:t>2. Vier Fallgruppen statt einer automatischen Massenklage</w:t>
      </w:r>
    </w:p>
    <w:p>
      <w:r/>
      <w:r>
        <w:rPr>
          <w:b/>
        </w:rPr>
        <w:t>Gruppe A: Noch anhängiges Beitragsverfahren.</w:t>
      </w:r>
      <w:r>
        <w:t xml:space="preserve"> Schwerpunkt A05 mit aktualisiertem Tatsachenkern, G01 und ausgewählten Aufklärungsanträgen. Bestehende Fristen, Hinweise und Streitgegenstände zuerst prüfen. Eine zusätzliche isolierte Feststellungsklage kann unnötige Zulässigkeits- und Kostenprobleme schaffen.</w:t>
      </w:r>
    </w:p>
    <w:p>
      <w:r/>
      <w:r>
        <w:rPr>
          <w:b/>
        </w:rPr>
        <w:t>Gruppe B: Neuer anfechtbarer Bescheid nach einem früheren Verlust.</w:t>
      </w:r>
      <w:r>
        <w:t xml:space="preserve"> A00-A04 und A06 auf den neuen Bescheid und sein eigenes Untersuchungsfenster beziehen. Das alte Urteil wird offengelegt; identische Zeiträume und Bindungen werden geprüft. Kein beliebiger alter Datensatz ersetzt das neue Zeitfenster.</w:t>
      </w:r>
    </w:p>
    <w:p>
      <w:r/>
      <w:r>
        <w:rPr>
          <w:b/>
        </w:rPr>
        <w:t>Gruppe C: Konkreter neuer Zugangsstreit.</w:t>
      </w:r>
      <w:r>
        <w:t xml:space="preserve"> Ist ein bestimmter gesetzlicher oder anderweitig tragfähig begründeter Zugangsanspruch vorhanden, kann eine Verpflichtungs- oder allgemeine Leistungsklage sachgerechter sein. P14 ist nur nach Auswahl der zutreffenden Rechtsgrundlage und Entscheidungsform zu verwenden. Dass die begehrten Informationen einem Beitragsprozess helfen sollen, schafft diesen Anspruch nicht von selbst.</w:t>
      </w:r>
    </w:p>
    <w:p>
      <w:r/>
      <w:r>
        <w:rPr>
          <w:b/>
        </w:rPr>
        <w:t>Gruppe D: Isolierte Feststellung der Zugangskonsistenz.</w:t>
      </w:r>
      <w:r>
        <w:t xml:space="preserve"> P10-P13 nur als bewusst risikobehafteter, fachlich freigegebener Pilot. Nötig sind eine aktuelle konkrete Auseinandersetzung, ein abgegrenztes fortdauerndes Rechtsverhältnis, dokumentierte eigene Bemühungen und eine nachvollziehbare Auseinandersetzung mit § 43 Abs. 2 VwGO. Für bloß vergangene, rechtskräftig erledigte Bescheide ohne neuen relevanten Konflikt ist diese Vorlage nicht als Rechtskraftumgehung einzusetzen.</w:t>
      </w:r>
    </w:p>
    <w:p>
      <w:pPr>
        <w:pStyle w:val="Heading1"/>
      </w:pPr>
      <w:r>
        <w:t>3. Jurisdiktion: Warum 51 Wohnorte nicht 51 Feststellungsgerichte ergeben</w:t>
      </w:r>
    </w:p>
    <w:p>
      <w:r>
        <w:t>Das Bundesverwaltungsgericht nennt 51 Verwaltungsgerichte in Deutschland. Daraus folgt keine freie Wahl dieser Gerichte. Bei Anfechtungs- und Verpflichtungsklagen ist § 52 Nr. 3 VwGO mit seinen konkreten Varianten maßgeblich; je nach Zuständigkeitsbereich einer Behörde kann der Wohnsitz Bedeutung haben. Für sonstige Klagen kommt regelmäßig § 52 Nr. 5 VwGO in Betracht, der grundsätzlich an den Sitz beziehungsweise Wohnsitz der Beklagten anknüpft. Besondere Regelungen und Sonderkonstellationen sind jeweils zu prüfen. [R20; R03, § 52; R21]</w:t>
      </w:r>
    </w:p>
    <w:p>
      <w:r>
        <w:t>Eine isolierte Feststellungsklage gegen dieselbe Rundfunkanstalt kann daher trotz unterschiedlicher Wohnorte mehrerer Kläger an denselben Gerichtsort gehören. Ebenso ist eine allgemeine Leistungsklage nicht automatisch am Wohnsitz des Klägers zu erheben. Umgekehrt darf bei einem als Verwaltungsakt ergehenden Zugangsbeschluss nicht pauschal behauptet werden, stets sei nur der Sitz der Anstalt zuständig; hier ist die konkrete Verpflichtungsklage einzuordnen.</w:t>
      </w:r>
    </w:p>
    <w:p>
      <w:r>
        <w:t>Vor jedem Versand wird in P08 die konkrete Zuständigkeitsvariante mit Tatsachen und Rechtsgrundlage freigegeben. Ein Projektziel geografischer Verteilung rechtfertigt keine fingierten Wohnsitze und keine bewusst falsche Gerichtsbezeichnung. Die 51 Plätze in der mitgelieferten Steuerungsdatei sind unbesetzte Planungsslots, keine nachgewiesene Teilnehmer- oder Gerichtsbelegung. Die Archivgrafik mit der Zahl 51 ist keine solche Belegungsliste.</w:t>
      </w:r>
    </w:p>
    <w:p>
      <w:pPr>
        <w:pStyle w:val="Heading1"/>
      </w:pPr>
      <w:r>
        <w:t>4. Was für einen geeigneten Leitfall vorliegen muss</w:t>
      </w:r>
    </w:p>
    <w:p>
      <w:r>
        <w:t>Der alte Prozess muss anhand des vollständigen Urteils analysiert sein. War die fehlende wissenschaftliche Substantiierung tatsächlich entscheidungstragend? Wurden Zeitraum, Medienabdeckung, Methodik oder nur die Darlegung einzelner Inhalte beanstandet? Welche Gutachten und Anträge waren nachweislich eingereicht? Ein wegen versäumter Klagefrist verlorener Prozess ist kein geeigneter Beleg dafür, dass Datenverweigerung die Sachprüfung unmöglich machte.</w:t>
      </w:r>
    </w:p>
    <w:p>
      <w:r>
        <w:t>Auch nachteilige materiell-rechtliche Entscheidungen sind gesondert zu behandeln. Das Mannheimer Urteil kritisiert die Gutachtenhürde, weist die Beitragsklage aber auf seiner materiell-rechtlichen Linie ab. Ein solcher Fall darf nicht in der Projektstatistik als wegen verweigerter Rohdaten verloren kodiert werden. Die korrekte Kodierung ist für die Glaubwürdigkeit des Projekts wichtiger als eine hohe scheinbare Zahl gleichartiger Niederlagen. [R02]</w:t>
      </w:r>
    </w:p>
    <w:p>
      <w:r>
        <w:t>Der neue Zugangskonflikt muss konkret und entscheidungsrelevant sein. Ein pauschales Ersuchen nach sämtlichen internen Daten aller Anstalten und seine Ablehnung sind schwächer als die Verweigerung eines vorhandenen abgegrenzten Indexes oder einer bestimmten ausgestrahlten Fassung trotz angebotener milderer Zugangsform. Der Datenhalter muss bezeichnet, die Existenz zumindest konkret plausibilisiert und das fehlende gleichwertige Erkenntnismittel dokumentiert sein.</w:t>
      </w:r>
    </w:p>
    <w:p>
      <w:pPr>
        <w:pStyle w:val="Heading1"/>
      </w:pPr>
      <w:r>
        <w:t>5. Verbindliche Freigabeschritte</w:t>
      </w:r>
    </w:p>
    <w:p>
      <w:r/>
      <w:r>
        <w:rPr>
          <w:b/>
        </w:rPr>
        <w:t>F1 Fristen und Rechtskraft:</w:t>
      </w:r>
      <w:r>
        <w:t xml:space="preserve"> Originalbescheide, Zustellungen, Erstklage, Urteil und Rechtsmittel vollständig prüfen. Gesetzliche Fristen laufen unabhängig von diesem Projekt. Wiederaufgreifen oder Wiederaufnahme sind eigene Ausnahmewege mit besonderen Voraussetzungen; ein neuer Text ist kein automatischer Wiederaufnahmegrund. [R03, §§ 60, 74, 121, 153; R19]</w:t>
      </w:r>
    </w:p>
    <w:p>
      <w:r/>
      <w:r>
        <w:rPr>
          <w:b/>
        </w:rPr>
        <w:t>F2 Streitgegenstand und Rechtsträger:</w:t>
      </w:r>
      <w:r>
        <w:t xml:space="preserve"> Exakt formulieren, welcher Anspruch beziehungsweise welches Rechtsverhältnis Gegenstand sein soll. Deutschlandradio ist der Rechtsträger, Deutschlandfunk ein Angebot. ARD ist nicht der pauschale Sammelschuldner aller anstaltsbezogenen Daten. Unabhängige Ansprüche gegen LRA, ZDF und Deutschlandradio werden nicht ohne Zuständigkeits- und Verbindungsprüfung zu einer einzigen Klage verbunden.</w:t>
      </w:r>
    </w:p>
    <w:p>
      <w:r/>
      <w:r>
        <w:rPr>
          <w:b/>
        </w:rPr>
        <w:t>F3 Anspruch und Klageart:</w:t>
      </w:r>
      <w:r>
        <w:t xml:space="preserve"> Gesetzliche Auskunft, wissenschaftliche Nutzung, konkrete prozessuale Mitwirkung und abstrakte Feststellung voneinander trennen. Die anstaltsspezifischen Ausnahmen im Informationsrecht müssen abgearbeitet sein. Ein Standardverweis auf BVerwG Rn. 48 und 50 reicht nicht. [R01; R15; R16]</w:t>
      </w:r>
    </w:p>
    <w:p>
      <w:r/>
      <w:r>
        <w:rPr>
          <w:b/>
        </w:rPr>
        <w:t>F4 Gericht und Kosten:</w:t>
      </w:r>
      <w:r>
        <w:t xml:space="preserve"> Örtliche Zuständigkeit begründen, voraussichtlichen Streitwert als Schätzung kennzeichnen, Auslagen und anwaltliche Kosten mitbedenken. Eine Kostenübernahme des Projekts braucht eine tatsächliche schriftliche Vereinbarung; sie entsteht nicht durch diese Vorlage.</w:t>
      </w:r>
    </w:p>
    <w:p>
      <w:r/>
      <w:r>
        <w:rPr>
          <w:b/>
        </w:rPr>
        <w:t>F5 Tatsachen und Beweismittel:</w:t>
      </w:r>
      <w:r>
        <w:t xml:space="preserve"> Keine unbestätigte Expertenzusage, kein vorgetäuschter Datenexport, kein behaupteter Eingang ohne Nachweis. Rechts- und Tatsachenbehauptungen getrennt freigeben. Ein verantwortlicher juristischer Prüfer entscheidet über die Einreichung der Pilot-Feststellungsklage.</w:t>
      </w:r>
    </w:p>
    <w:p>
      <w:pPr>
        <w:pStyle w:val="Heading1"/>
      </w:pPr>
      <w:r>
        <w:t>6. Fragen, die die Zugangsphase tatsächlich beantworten soll</w:t>
      </w:r>
    </w:p>
    <w:p>
      <w:r>
        <w:t>Der Kern lautet: Was ist vorhanden, wer verfügt darüber, welcher Zugang ist möglich, welche konkrete Grenze besteht, welche Alternative wird angeboten und reicht diese für die offen beschriebene Methode? Nicht gefragt wird, ob die Anstalt selbst durch ein neues Gutachten ihre politische Ausgewogenheit nachweisen kann. Nicht verlangt wird ein nachträgliches Eingeständnis, die alten Beitragssachen seien falsch entschieden worden.</w:t>
      </w:r>
    </w:p>
    <w:p>
      <w:r>
        <w:t>Die Schreiben P01-P03 klären die eigenen Bestände der drei angesprochenen Rechtsträger. Sie decken nicht automatisch alle neun Landesrundfunkanstalten ab. Für eine tatsächlich systemweite Untersuchung muss die Projektkoordination weitere produzierte Angebote und ihre eigenen Datenhalter zuordnen. P04 dient dem wissenschaftlichen Archivweg. P05 ist die gemeinsame methodische Anlage; P06 ist bei konkretem Anlass ein gesondertes begrenztes Sicherungsersuchen; P07 reagiert auf offene Positionen und stoppt keine Rechtsbehelfsfrist. [R13]</w:t>
      </w:r>
    </w:p>
    <w:p>
      <w:pPr>
        <w:pStyle w:val="Heading1"/>
      </w:pPr>
      <w:r>
        <w:t>7. Auswertung ohne vorab festgelegtes Ergebnis</w:t>
      </w:r>
    </w:p>
    <w:p>
      <w:r>
        <w:t>Jeder Vorgang wird pseudonymisiert erfasst. Personenbezogene Originalunterlagen verbleiben in einer gesondert zugriffsbeschränkten Akte. Die zentrale Auswertung enthält nur die zur Prüfung erforderlichen Angaben. Zugriff, Zweck, Nutzungsrechte, Aufbewahrung und Weitergabe an Gerichte beziehungsweise wissenschaftliche Partner sind vor der Erhebung zu klären.</w:t>
      </w:r>
    </w:p>
    <w:p>
      <w:r>
        <w:t>Die Ergebnisgruppen lauten Zugang erhalten, Teilzugang, Zugang unter Bedingungen, Rechtsgrund verneint, Bestand nicht vorhanden, anderer Datenhalter, noch offen und sonstiger begründeter Status. Bei Gerichten werden Unzulässigkeit, Fristfrage, materielle Abweisung, unzureichende Substantiierung, Aufklärung, Verweisung und sonstige Erledigung getrennt erfasst. Mehrere Schriftsätze oder Entscheidungen desselben Verfahrens werden nicht als unabhängige Fälle gezählt.</w:t>
      </w:r>
    </w:p>
    <w:p>
      <w:r>
        <w:t>Die Projektfälle sind keine zufällige repräsentative Stichprobe aller Beitragsprozesse. Ihre Auswahl erfolgt bewusst nach Eignung. Ergebnisse können deshalb typische Hindernisse und Unterschiede dokumentieren, aber ohne weiteres Design keine flächendeckende Fehlerquote der Verwaltungsgerichtsbarkeit beweisen. Positive Antworten und sachlich begründete Ablehnungen werden vollständig mitberichtet. Offene Vorgänge werden nicht als verloren gerechnet.</w:t>
      </w:r>
    </w:p>
    <w:p>
      <w:pPr>
        <w:pStyle w:val="Heading1"/>
      </w:pPr>
      <w:r>
        <w:t>8. Kostenbeispiel ohne falsche Obergrenze</w:t>
      </w:r>
    </w:p>
    <w:p>
      <w:r>
        <w:t>Bei einem lediglich beispielhaft angenommenen Streitwert von 5.000 Euro beträgt eine Gerichtsgebühr nach der am 03.10.2026 geprüften Tabelle 170,50 Euro. Bei einem allgemeinen erstinstanzlichen Verfahren nach KV 5110 fallen grundsätzlich 3,0 Gebühren an, also 511,50 Euro. Für 51 solche Verfahren sind das rechnerisch 26.086,50 Euro, für 102 Verfahren 52.173,00 Euro allein an diesen Gerichtsgebühren. Dies ist keine konkrete Streitwertprognose und keine Kostenobergrenze. [R05; R06; eigene Multiplikation]</w:t>
      </w:r>
    </w:p>
    <w:p>
      <w:r>
        <w:t>Anwaltskosten, gegebenenfalls erstattungsfähige gegnerische Kosten, Auslagen, Sachverständige, Zugangsgebühren, Rechtsmittel und weitere Streitgegenstände sind darin nicht enthalten. Der tatsächliche Streitwert wird nach dem konkreten Begehren festgesetzt; bei beitragsbezogenen Zukunftsanträgen oder verbundenen Ansprüchen können andere Regeln eingreifen. Reduzierungen bei besonderer Erledigung richten sich nach dem Gesetz. Es gibt keine pauschale Kostenfreiheit dieser Projektklagen. [R03, § 188; R04-R06]</w:t>
      </w:r>
    </w:p>
    <w:p>
      <w:pPr>
        <w:pStyle w:val="Heading1"/>
      </w:pPr>
      <w:r>
        <w:t>9. Empfohlener Start und Skalierungsentscheidung</w:t>
      </w:r>
    </w:p>
    <w:p>
      <w:r>
        <w:t>Die inhaltlichen Arbeitsstränge können gleichzeitig beginnen: neue Klagevorlagen, Daten- und Archivzugang, Bereinigung der Gutachten, Auswahl vorhandener Verfahren und wissenschaftlicher Pilot. Gerichtliche Serienanträge sollten erst nach fallbezogener Freigabe versandt werden. Zunächst bieten sich wenige gut belegte Leitfälle mit unterschiedlichen tatsächlichen Zugangshindernissen an, ohne dass deswegen Fristen anderer Betroffener versäumt werden dürfen.</w:t>
      </w:r>
    </w:p>
    <w:p>
      <w:r>
        <w:t>Skaliert wird nicht nach der Zahl bereits unterschriebener Formulare, sondern nach der Qualität der vorhandenen Tatsachen, der tragfähigen Anspruchsgrundlagen und der ersten konkreten rechtlichen Reaktionen. Ein Gericht, das wegen § 43 Abs. 2 VwGO nicht zur Sache entscheidet, beantwortet die Forschungsfrage nicht negativ; es zeigt, dass die gewählte Verfahrensform dieses Ziel nicht erreicht hat. Das muss in die nächste Fallentscheidung eingehen.</w:t>
      </w:r>
    </w:p>
    <w:p>
      <w:pPr>
        <w:pStyle w:val="Heading1"/>
      </w:pPr>
      <w:r>
        <w:t>10. Noch benötigte Originale</w:t>
      </w:r>
    </w:p>
    <w:p>
      <w:r>
        <w:t>Erforderlich sind die realen Teilnehmer- und Gerichtszuordnungen, alle maßgeblichen alten Urteile und Schriftsätze, die tatsächlichen Auskunftsersuchen samt Antworten, Versand-/Zustellungsnachweise, neue noch fristgebundene Entscheidungen, die Rundfunkalarm-CSV samt Exporterklärung und Antwortsammlung sowie eine echte wissenschaftliche Mitwirkungsbestätigung. Diese Unterlagen liegen nicht schon deshalb vor, weil sie in einem früheren Plan oder Gutachten erwähnt werden.</w:t>
      </w:r>
    </w:p>
    <w:p>
      <w:pPr>
        <w:pStyle w:val="Heading1"/>
      </w:pPr>
      <w:r>
        <w:t>Aktualisierte Freigaben nach Berlin, Ansbach und den neuen Studien</w:t>
      </w:r>
    </w:p>
    <w:p>
      <w:r>
        <w:t>Die folgenden Regeln ergänzen die bisherigen Fallgruppen. Sie sind keine Erklärung, dass bereits 51 einreichungsfertige Verfahren vorliegen. Der konkrete Feststellungsansatz bleibt in P10-P13 erhalten; die Zugangsroute in P14 bleibt eine Alternative mit eigener Anspruchsprüfung.</w:t>
      </w:r>
    </w:p>
    <w:p>
      <w:r>
        <w:t>Materielle Programmrüge: Vor einer bewusst geplanten Pilotklage werden ein zeitlich passender Tatsachenkern, ein nachvollziehbarer Auswahlrahmen, zugängliche Kernbelege und eine fachliche Bewertung der Methode verlangt. Das ist ein interner Qualitätsmaßstab, keine gesetzliche Voraussetzung, schon zur Wahrung der Klagefrist ein vollständiges Hauptgutachten besitzen zu müssen. A08 bleibt für dringende Fristsituationen verfügbar. [R03, §§ 74, 82, 87b]</w:t>
      </w:r>
    </w:p>
    <w:p>
      <w:r>
        <w:t>Feststellungsansatz: Zuerst Rechtsverhältnis, aktueller konkreter Konflikt, Eigenständigkeit der begehrten Feststellung, Subsidiarität, Rechtskraft und Zuständigkeit prüfen. Die vollständige wissenschaftliche Untersuchung darf nicht als schematische Zugangsvoraussetzung dieses anders gelagerten Verfahrens behauptet werden. Die tatsächliche Notwendigkeit der begehrten Erkenntnismittel ist gleichwohl konkret zu erläutern. P13 enthält keine anerkannte Sonderklage zur freien Kontrolle des RBStV. [R03, § 43]</w:t>
      </w:r>
    </w:p>
    <w:p>
      <w:r>
        <w:t>Kosten: Vor Freigabe K01 mit individuellem Streitwertszenario, gegnerischer Vertretung, eigenen Mandaten, Beweisauslagen und eventuellen Rechtsmittelkosten bearbeiten. Eine Spendenabsicht oder gemeinschaftliche Strategie ist keine verbindliche Kostenübernahme. Jede tatsächliche Deckungszusage muss Umfang, Höchstbetrag, Voraussetzungen und tragende Stelle nennen. Eine unterschriebene Risikoaufklärung ist kein pauschaler Haftungsverzicht.</w:t>
      </w:r>
    </w:p>
    <w:p>
      <w:r>
        <w:t>Empirie: Glashaus und O-Ton-Auswertung werden als eigenständige Studien behandelt, nicht ungeprüft verschmolzen. P16/P17 fordern die erforderlichen Einzeldateien und Validierungen an. P15 zeigt Datenzugänge und Lücken getrennt nach Format und Zeitraum. Die vier Originalgutachten werden über G03 erhalten und erschlossen. Ein Hinweis auf G02 allein ersetzt nicht die Einreichung ausgewählter Originalbelege.</w:t>
      </w:r>
    </w:p>
    <w:p>
      <w:r>
        <w:t>Urteile: Die Berliner Einzelakten und die im Nutzerbericht gemeinte Ansbacher Entscheidung werden beschafft. Der von Schmitz kritisierte OVG-Beschluss wird im Original angefordert. Erst dann erfolgen belastbare Verfahrensvergleiche oder fallbezogene Rechtsmittelprüfungen. Das Textvergleichsskript ist ein Hilfsmittel zur Sichtung und liefert keine Feststellung von Rechtsverletzungen.</w:t>
      </w:r>
    </w:p>
    <w:p>
      <w:pPr>
        <w:pStyle w:val="Heading1"/>
      </w:pPr>
      <w:r>
        <w:t>Fundstellen dieses Moduls</w:t>
      </w:r>
    </w:p>
    <w:p>
      <w:r>
        <w:t>R-Codes bezeichnen geprüfte externe Primärquellen, U-Codes die bereitgestellten Ausgangsdokumente. Die ausführliche Quellen- und Begrenzungsdokumentation steht in Q01. Die jeweiligen Normfassungen und der weitere Verfahrensgang sind vor einer späteren Einreichung erneut zu kontrollieren.</w:t>
      </w:r>
    </w:p>
    <w:p>
      <w:r>
        <w:rPr>
          <w:sz w:val="18"/>
        </w:rPr>
        <w:t>R01 | BVerwG, Urteil vom 15.10.2025 - 6 C 5.24. Amtlicher Volltext; insbesondere Rn. 21-50. Kein allgemeiner Auskunftsanspruch; verfassungsrechtliche Evidenzkontrolle, Gesamtangebot, Zeitraum und Substantiierung.</w:t>
        <w:br/>
        <w:t>https://www.bverwg.de/151025U6C5.24.0</w:t>
      </w:r>
    </w:p>
    <w:p>
      <w:r>
        <w:rPr>
          <w:sz w:val="18"/>
        </w:rPr>
        <w:t>R02 | VGH Baden-Württemberg, Urteil aufgrund Verhandlung vom 14.04.2026 - 2 S 2529/25. Amtliche Entscheidungs-PDF, 43 Seiten. Insbesondere S. 14-28 zu materiellen Gegenargumenten sowie S. 30-32 zur Kritik an der Gutachtenhürde. Berufung zurückgewiesen, Revision nicht zugelassen; weiterer Verfahrensgang hier nicht verifiziert.</w:t>
        <w:br/>
        <w:t>https://verwaltungsgerichtshof-baden-wuerttemberg.justiz-bw.de/pb/site/pbs-bw-rebrush-jum/get/documents_E-1983769261/jum1/JuM/VGH/Presse/Entscheidungen/2s2529.25u.pdf</w:t>
      </w:r>
    </w:p>
    <w:p>
      <w:r>
        <w:rPr>
          <w:sz w:val="18"/>
        </w:rPr>
        <w:t>R03 | Verwaltungsgerichtsordnung. Amtlicher konsolidierter Gesetzestext; insbesondere §§ 42, 43, 52, 58, 60, 67, 74, 75, 81, 82, 84, 86, 88, 94, 98-101, 108, 113, 121, 123, 124a, 153, 154, 161, 166, 173, 188. Anwendung stets nach konkreter Prozesslage.</w:t>
        <w:br/>
        <w:t>https://www.gesetze-im-internet.de/vwgo/BJNR000170960.html</w:t>
      </w:r>
    </w:p>
    <w:p>
      <w:r>
        <w:rPr>
          <w:sz w:val="18"/>
        </w:rPr>
        <w:t>R04 | Gerichtskostengesetz. Amtlicher Gesetzestext, insbesondere §§ 39, 45, 52, 63 und Anlagen 1/2. Kein pauschaler 300-Euro-Streitwert für Rundfunk-Massenverfahren.</w:t>
        <w:br/>
        <w:t>https://www.gesetze-im-internet.de/gkg_2004/</w:t>
      </w:r>
    </w:p>
    <w:p>
      <w:r>
        <w:rPr>
          <w:sz w:val="18"/>
        </w:rPr>
        <w:t>R05 | GKG, Anlage 2. Gebührentabelle: bis 5.000 Euro Streitwert eine Gebühr von 170,50 Euro. Geprüfter Tabellenstand am 03.10.2026.</w:t>
        <w:br/>
        <w:t>https://www.gesetze-im-internet.de/gkg_2004/anlage_2.html</w:t>
      </w:r>
    </w:p>
    <w:p>
      <w:r>
        <w:rPr>
          <w:sz w:val="18"/>
        </w:rPr>
        <w:t>R06 | GKG, Anlage 1, KV 5110. Allgemeines Verfahren vor dem Verwaltungsgericht: 3,0 Gebühren; Ermäßigungen nur nach gesetzlichen Voraussetzungen.</w:t>
        <w:br/>
        <w:t>https://www.gesetze-im-internet.de/gkg_2004/anlage_1.html</w:t>
      </w:r>
    </w:p>
    <w:p>
      <w:r>
        <w:rPr>
          <w:sz w:val="18"/>
        </w:rPr>
        <w:t>R13 | ARD: Archivzugang für Wissenschaft und Forschung. Aktuelle offizielle Beschreibung: dezentrale Archive; kein zentrales Archiv sämtlicher ARD-Beiträge; TV weitgehend, Radio selektiv archiviert; Beratung und Vor-Ort-Recherche grundsätzlich kostenfrei. Bedingungen der konkreten Nutzung gesondert.</w:t>
        <w:br/>
        <w:t>https://www.ard.de/die-ard/presse-kontakt/archive/archivzugang-fuer-wissenschaft-und-forschung-100.html</w:t>
      </w:r>
    </w:p>
    <w:p>
      <w:r>
        <w:rPr>
          <w:sz w:val="18"/>
        </w:rPr>
        <w:t>R15 | WDR-Gesetz, Fassung ab 01.04.2026, § 55a. Informationsfreiheitsgesetz NRW gilt für WDR, jedoch mit ausdrücklichen Ausnahmen unter anderem für journalistisch-redaktionelle Informationen. Nicht auf alle Anstalten übertragbar.</w:t>
        <w:br/>
        <w:t>https://recht.nrw.de/lrgv/gesetz/01042026-gesetz-ueber-den-westdeutschen-rundfunk-koeln/</w:t>
      </w:r>
    </w:p>
    <w:p>
      <w:r>
        <w:rPr>
          <w:sz w:val="18"/>
        </w:rPr>
        <w:t>R16 | Rheinland-Pfalz: Verwaltungsvorschrift zum Landestransparenzgesetz. Offizielles Transparenzportal, Ziffer 3.8 zu § 3 Abs. 7 LTranspG. Sonderstellung öffentlich-rechtlicher Rundfunkanstalten; daher kein unbesehen auf das ZDF übertragbarer NRW-IFG-Anspruch.</w:t>
        <w:br/>
        <w:t>https://open.rlp.de/fileadmin/open.rlp/Downloads/Transparenz/VV_TranspG_RP.pdf</w:t>
      </w:r>
    </w:p>
    <w:p>
      <w:r>
        <w:rPr>
          <w:sz w:val="18"/>
        </w:rPr>
        <w:t>R19 | BVerwG, Urteil vom 14.06.2017 - 8 C 7.16. Wiederaufgreifen und Rechtskraft nur unter den jeweiligen besonderen gesetzlichen Voraussetzungen; nicht durch bloß neues Gutachten garantiert.</w:t>
        <w:br/>
        <w:t>https://www.bverwg.de/de/140617U8C7.16.0</w:t>
      </w:r>
    </w:p>
    <w:p>
      <w:r>
        <w:rPr>
          <w:sz w:val="18"/>
        </w:rPr>
        <w:t>R20 | BVerwG: Aufbau der Verwaltungsgerichtsbarkeit. Offizielle Übersicht nennt 51 Verwaltungsgerichte. Kein Beleg einer Zuständigkeit aller 51 Gerichte für gleichartige isolierte Feststellungsklagen.</w:t>
        <w:br/>
        <w:t>https://www.bverwg.de/rechtsprechung/verwaltungsgerichtsbarkeit/aufbau-der-verwaltungsgerichtsbarkeit</w:t>
      </w:r>
    </w:p>
    <w:p>
      <w:r>
        <w:rPr>
          <w:sz w:val="18"/>
        </w:rPr>
        <w:t>R21 | BVerwG, Beschluss vom 03.09.2024 - 6 AV 2.24. Rundfunkbeitragsrecht und örtliche Zuständigkeit bei mehreren Wohnsitzen; § 52 Nr. 3 und Nr. 5 VwGO.</w:t>
        <w:br/>
        <w:t>https://ssl.bverwg.de/de/030924B6AV2.24.0</w:t>
      </w:r>
    </w:p>
    <w:sectPr w:rsidR="00FC693F" w:rsidRPr="0006063C" w:rsidSect="00034616">
      <w:headerReference w:type="default" r:id="rId9"/>
      <w:footerReference w:type="default" r:id="rId10"/>
      <w:pgSz w:w="11906" w:h="16838"/>
      <w:pgMar w:top="1191" w:right="1304" w:bottom="1134" w:left="130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sz w:val="16"/>
      </w:rPr>
      <w:t xml:space="preserve">P00 | 3.0 | 03.10.2026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rFonts w:ascii="Liberation Sans" w:hAnsi="Liberation Sans"/>
        <w:color w:val="5B6572"/>
        <w:sz w:val="16"/>
      </w:rPr>
      <w:t>BEITRAGSSTOPPER / PROJEKT 51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Liberation Serif" w:hAnsi="Liberation Serif"/>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40"/>
      <w:outlineLvl w:val="0"/>
    </w:pPr>
    <w:rPr>
      <w:rFonts w:asciiTheme="majorHAnsi" w:eastAsiaTheme="majorEastAsia" w:hAnsiTheme="majorHAnsi" w:cstheme="majorBidi" w:ascii="Liberation Sans" w:hAnsi="Liberation Sans"/>
      <w:b/>
      <w:bCs/>
      <w:color w:val="243647"/>
      <w:sz w:val="28"/>
      <w:szCs w:val="28"/>
    </w:rPr>
  </w:style>
  <w:style w:type="paragraph" w:styleId="Heading2">
    <w:name w:val="heading 2"/>
    <w:basedOn w:val="Normal"/>
    <w:next w:val="Normal"/>
    <w:link w:val="Heading2Char"/>
    <w:uiPriority w:val="9"/>
    <w:unhideWhenUsed/>
    <w:qFormat/>
    <w:rsid w:val="00FC693F"/>
    <w:pPr>
      <w:keepNext/>
      <w:keepLines/>
      <w:widowControl/>
      <w:spacing w:before="240" w:after="140"/>
      <w:outlineLvl w:val="1"/>
    </w:pPr>
    <w:rPr>
      <w:rFonts w:asciiTheme="majorHAnsi" w:eastAsiaTheme="majorEastAsia" w:hAnsiTheme="majorHAnsi" w:cstheme="majorBidi" w:ascii="Liberation Sans" w:hAnsi="Liberation Sans"/>
      <w:b/>
      <w:bCs/>
      <w:color w:val="243647"/>
      <w:sz w:val="24"/>
      <w:szCs w:val="26"/>
    </w:rPr>
  </w:style>
  <w:style w:type="paragraph" w:styleId="Heading3">
    <w:name w:val="heading 3"/>
    <w:basedOn w:val="Normal"/>
    <w:next w:val="Normal"/>
    <w:link w:val="Heading3Char"/>
    <w:uiPriority w:val="9"/>
    <w:unhideWhenUsed/>
    <w:qFormat/>
    <w:rsid w:val="00FC693F"/>
    <w:pPr>
      <w:keepNext/>
      <w:keepLines/>
      <w:widowControl/>
      <w:spacing w:before="240" w:after="140"/>
      <w:outlineLvl w:val="2"/>
    </w:pPr>
    <w:rPr>
      <w:rFonts w:asciiTheme="majorHAnsi" w:eastAsiaTheme="majorEastAsia" w:hAnsiTheme="majorHAnsi" w:cstheme="majorBidi" w:ascii="Liberation Sans" w:hAnsi="Liberation Sans"/>
      <w:b/>
      <w:bCs/>
      <w:color w:val="2436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Liberation Sans" w:hAnsi="Liberation Sans"/>
      <w:b/>
      <w:color w:val="24364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Liberation Sans" w:hAnsi="Liberation Sans"/>
      <w:b w:val="0"/>
      <w:i/>
      <w:iCs/>
      <w:color w:val="596572"/>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P00 | Beitragsstopper / Projekt 51</dc:title>
  <dc:subject>Modulare Arbeitsfassung; individuelle rechtliche und fachliche Freigabe erforderlich</dc:subject>
  <dc:creator>Freiheitskanzlei - Arbeitsunterlagen</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