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G03 | 3.0 | 03.10.2026</w:t>
      </w:r>
    </w:p>
    <w:p>
      <w:pPr>
        <w:pStyle w:val="Title"/>
      </w:pPr>
      <w:r>
        <w:t>Einführung der vollständigen Originalgutachten</w:t>
      </w:r>
    </w:p>
    <w:p>
      <w:pPr>
        <w:pStyle w:val="Subtitle"/>
      </w:pPr>
      <w:r>
        <w:t>Gerichtsmodul | Beweisthemen, Fundstellen und offene Korrekturen</w:t>
      </w:r>
    </w:p>
    <w:p>
      <w:r>
        <w:t>An das {Verwaltungsgericht}, {Anschrift}. Im Verfahren {Klägerseite} gegen {Anstalt}, Az. {Aktenzeichen}.</w:t>
      </w:r>
    </w:p>
    <w:p>
      <w:pPr>
        <w:pStyle w:val="Heading1"/>
      </w:pPr>
      <w:r>
        <w:t>1. Beifügung und Bezugnahme</w:t>
      </w:r>
    </w:p>
    <w:p>
      <w:r>
        <w:t>Die nachstehend bezeichneten Originalgutachten werden in der jeweils angegebenen Fassung vollständig vorgelegt beziehungsweise als bereits bei Gericht befindlich konkret bezeichnet. Die Leit- und Vertiefungsbände G01/G02 ersetzen diese Anlagen nicht. Ihre Funktion ist es, den Zusammenhang der einzelnen Herleitungen, Befunde und Aufklärungsbegehren nachvollziehbar zu erschließen. Soweit eine Anlage im konkreten Verfahren nicht vorgelegt wird, ist ihr Eintrag vor Unterzeichnung zu entfernen und der tatsächliche Einreichungsumfang anzupassen.</w:t>
      </w:r>
    </w:p>
    <w:p>
      <w:r>
        <w:t>U01 / Anlage {K...}: V-Gutachten, Version 1.3, Titelstand 06.06.2026; bereitgestellter Dateiname beginnt mit 2026_06_02. Vollständige Originaldatei, in der bereitgestellten Darstellung 157 Seiten. Beweisthema beziehungsweise Vortragsfunktion: methodische Überprüfbarkeit, Informationsasymmetrie, Voraussetzungen einer langfristigen Auswertung. Besonders Bezug genommen wird auf den Hinweis zur Funktion des Vorgutachtens, die Kapitel zur öffentlichen Datenbasis und zum Erkenntnisbedarf sowie die Indizien und den geplanten Untersuchungsrahmen. Konkrete auf diesen Fall bezogene Fundstellen: {Kapitel/Seiten}; Verbindung mit P15: {Lückenkennungen}.</w:t>
      </w:r>
    </w:p>
    <w:p>
      <w:r>
        <w:t>U02 / Anlage {K...}: Gutachten Rundfunkalarm - Programmbeschwerden und Gremienkontrolle, überarbeitete gerichtliche Fassung 27.06.2026, 30 Seiten. Funktion: dokumentierter Beschwerdebestand und bislang dokumentierte Korrekturwirkung; keine Gleichsetzung einer Beschwerde mit einem feststehenden Programmfehler. Kernfundstellen: Vorblatt und Kurzzusammenfassung S. 1-4; Methoden-, Befund- und Grenzabschnitte E, F und L; konkret vorgelegte Originalvorgänge {Kennungen}. Die im Werk genannte weitere Antwortanalyse wird nicht als schon erledigt ausgegeben.</w:t>
      </w:r>
    </w:p>
    <w:p>
      <w:r>
        <w:t>U03 / Anlage {K...}: Kurzgutachten zur gerichtlichen Kontrolle des gesetzlichen Funktionsauftrags, 16.07.2026, 18 Seiten. Funktion: Anwendung der Erkenntnis- und Prozessfragen auf die Streitlage. Bezug insbesondere auf S. 3-4 zur Abgrenzung von der Grundlagenuntersuchung sowie die Abschnitte zur Sachaufklärung und wissenschaftlichen Rekonstruktion. Soweit das Original auf einen bestimmten früheren HR-Schriftsatz Bezug nimmt, wird damit nicht dessen Existenz oder gleicher Inhalt in diesem Verfahren behauptet.</w:t>
      </w:r>
    </w:p>
    <w:p>
      <w:r>
        <w:t>U04 / Anlage {K...}: Wissenschaftliche Grundlagenuntersuchung - Erkenntnis als Voraussetzung des Beweises, 16.07.2026, 206 Seiten. Funktion: ausführliche Herleitung der Begriffe institutioneller Lebenssachverhalt, digitale Erkenntnisordnung und funktionale Kohärenz, Verbindung von Tatsachenrekonstruktion und rechtlichem Maßstab. Für diesen Fall konkret bedeutsame Kapitel: {genaue Kapitel und Seiten nach eingesetzter Originalfassung}. Das Werk wird als rechtlich-methodische Grundlagenarbeit, nicht als abgeschlossene empirische Erhebung eingeführt.</w:t>
      </w:r>
    </w:p>
    <w:p>
      <w:pPr>
        <w:pStyle w:val="Heading1"/>
      </w:pPr>
      <w:r>
        <w:t>2. Ergänzende empirische Anlagen</w:t>
      </w:r>
    </w:p>
    <w:p>
      <w:r>
        <w:t>N02 / Anlage {K...}: Glashaus-Whitepaper vom 25.06.2026, 37 Seiten. Funktion: langfristige, abgegrenzte Auswertung markierter Tagesthemen-Kommentare; Methodik und Grenzen insbesondere S. 6-8 und 12-15. Tatsächlich verwendetes Zeitfenster {Angabe}; eigener Rohdatenabgleich {erfolgt/nicht erfolgt, Details}. Nicht als nachgewiesene politische Steuerung oder als Vollanalyse aller Angebote eingeführt.</w:t>
      </w:r>
    </w:p>
    <w:p>
      <w:r>
        <w:t>N03 / Anlage {K...}: Gesamtgutachten O-Ton-Einbindungen mit Parteizuordnung, übermittelt durch Jens Braun, 17 Seiten. Deckblattstand 16.09.2026; abweichendes Enddatum einer Teilreihe wird mit der Autorenanfrage geklärt. Funktion: technische Zählung in vier konkret begrenzten Korpora, ergänzend dokumentierte Abrufgrenzen. Methodische Fundstellen S. 3-10, Grenzen der Zweitprüfung S. 16-17. Verantwortliche Person und tatsächlicher Dateistand {Bestätigung}; nicht vorhandene Bestätigung nicht behaupten.</w:t>
      </w:r>
    </w:p>
    <w:p>
      <w:r>
        <w:t>U08 / Anlage {K...}: Gutachterliche Stellungnahme Prof. Dr. Werner Müller, 03.03.2026, 134 PDF-Seiten. Funktion: thematisch und zeitlich begrenzte Corona-Inhaltsanalyse mit Dokumentation. Bezug zum hier maßgeblichen Zeitraum {konkret}; offene Zahlen- und Quellenfragen {angeben}. Wird nur in der Reichweite der tatsächlich untersuchten Periode als Inhaltsbeleg verwendet.</w:t>
      </w:r>
    </w:p>
    <w:p>
      <w:pPr>
        <w:pStyle w:val="Heading1"/>
      </w:pPr>
      <w:r>
        <w:t>3. Ausdrückliche Abgrenzung früherer Aussagen</w:t>
      </w:r>
    </w:p>
    <w:p>
      <w:r>
        <w:t>Die ungekürzte Vorlage bedeutet nicht, dass jede rechtliche These und jeder im Original zitierte Sachvortrag pauschal und unabhängig vom Einzelfall übernommen wird. Die folgenden Punkte werden offen präzisiert; die Originaldateien selbst bleiben unverändert.</w:t>
      </w:r>
    </w:p>
    <w:p>
      <w:r>
        <w:t>Ein allgemeiner Anspruch auf sämtliche Rundfunkdaten wird nicht unmittelbar aus Rn. 48/50 der Entscheidung BVerwG 6 C 5.24 hergeleitet. Diese Entscheidung ist auch keine generelle Aussage über Unterschriften, Bescheidautomatisierung oder die Rechtsfähigkeit des Beitragsservice. Das vorliegende Verfahren betrifft die in A01 bezeichnete Programmrüge, nicht ein mit ihr vermengtes Vollstreckungsverfahren. [R01]</w:t>
      </w:r>
    </w:p>
    <w:p>
      <w:r>
        <w:t>Eine sekundäre Darlegungslast wird nicht als automatische Beweislastumkehr und Schweigen nicht als automatisches Geständnis behandelt. Die Bezugnahme auf BGH VI ZR 335/24 ist auf den tatsächlichen arzneimittelrechtlichen Kontext und den besonderen gesetzlichen Auskunftsanspruch zu begrenzen. Ein allgemeiner Transfer eines solchen Anspruchs in das Rundfunkrecht wird nicht behauptet. [R03; R09]</w:t>
      </w:r>
    </w:p>
    <w:p>
      <w:r>
        <w:t>Die Bezeichnung Vollanalyse bedeutet in dieser Gerichtsfassung keinen unabdingbaren Nachweis jeder Sendesekunde. Zielpopulation und methodisch begründete Stichprobe werden unterschieden. Die Existenz öffentlicher Studien wird ausdrücklich anerkannt; die konkreten verbleibenden Zugangsprobleme werden in P15 belegt. Allgemeine Aussagen, es gebe außerhalb der Anstalten keinerlei Daten, werden nicht aufrechterhalten.</w:t>
      </w:r>
    </w:p>
    <w:p>
      <w:r>
        <w:t>Aus dem Beschwerdegutachten wird keine bewiesene Null-Erfolgsquote aller Beschwerden abgeleitet. Aus den neuen technischen Studien wird keine über deren Messgegenstand hinausgehende Validierung behauptet. Die KI-Konsistenzprüfung der O-Ton-Zahlen ist nach dem Original keine Nachprüfung der OCR am Video. Ebenso werden die offenen Kalibrierungsfragen des Whitepapers nicht verschwiegen. [U02; N02; N03]</w:t>
      </w:r>
    </w:p>
    <w:p>
      <w:r>
        <w:t>Pauschale Gerichtskostenfreiheit, Kostenfreiheit allein durch Benennung eines Begehrens als Beweisanregung und ein garantierter 300-Euro-Streitwert werden nicht beansprucht. Die Sachanträge ergeben sich ausschließlich aus {Antragsteil mit Datum}; etwaige bereits erhobene weitere Anträge werden erforderlichenfalls gesondert behandelt, nicht rückwirkend wegdefiniert. [R03-R06; R10]</w:t>
      </w:r>
    </w:p>
    <w:p>
      <w:pPr>
        <w:pStyle w:val="Heading1"/>
      </w:pPr>
      <w:r>
        <w:t>4. Tatsächlicher Einreichungsnachweis</w:t>
      </w:r>
    </w:p>
    <w:p>
      <w:r>
        <w:t>Neu beigefügt: {jede Anlage, Dateiname, Version, Seitenzahl}. Bereits vorgelegt: {jede Anlage, Schriftsatzdatum, Eingangsbeleg, gerichtliche Bezeichnung}. Nur intern vorhanden und nicht als eingereicht bezeichnet: {Liste}. Bei umfangreichen Beständen wird eine mit der Geschäftsstelle beziehungsweise dem Gericht abgestimmte Übermittlungsform verwendet; die bloße Verlinkung eines wechselnden Cloud-Ordners ersetzt nicht die Bestimmung des Beweismittels.</w:t>
      </w:r>
    </w:p>
    <w:p>
      <w:r>
        <w:t>Die konkreten Tatsachenbehauptungen und Beweisangebote finden sich in A03/A04/A10 unter {Abschnitte}. Die hier erklärte Bezugnahme dient ihrer Vertiefung und erweitert den Streitgegenstand nicht allein durch die Zahl der Anlagen. Unzutreffende Alternativen wurden entfernt.</w:t>
      </w:r>
    </w:p>
    <w:p>
      <w:r>
        <w:t>{Ort, Datum, Unterschrift}</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G03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G03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