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G02 | 3.0 | 03.10.2026</w:t>
      </w:r>
    </w:p>
    <w:p>
      <w:pPr>
        <w:pStyle w:val="Title"/>
      </w:pPr>
      <w:r>
        <w:t>Evidenz, Methode und gerichtliche Prüfbarkeit</w:t>
      </w:r>
    </w:p>
    <w:p>
      <w:pPr>
        <w:pStyle w:val="Subtitle"/>
      </w:pPr>
      <w:r>
        <w:t>Vertiefungsband zur gutachterlichen Arbeitsfassung | Kein Ersatz der Originalgutachten</w:t>
      </w:r>
    </w:p>
    <w:p>
      <w:pPr>
        <w:pStyle w:val="Heading1"/>
      </w:pPr>
      <w:r>
        <w:t>1. Auftrag, Erkenntnisstatus und Leseordnung</w:t>
      </w:r>
    </w:p>
    <w:p>
      <w:r>
        <w:t>Dieser Band untersucht, welche zusätzlichen Erkenntnisse die neu vorgelegten Studien und Verfahrensrückmeldungen vermitteln und welche Änderungen sie an Klagebegründung, Forschungsdesign und Zugangsbegehren erfordern. Er ergänzt den rechtlich-methodischen Leitband G01 und die vollständigen Originalgutachten U01-U04. Er ist kein vom Gericht beauftragtes Sachverständigengutachten und keine neu durchgeführte empirische Volluntersuchung. Die fremden Studien werden nach ihrem tatsächlichen Messgegenstand eingeordnet, nicht als eigene Forschung ausgegeben.</w:t>
      </w:r>
    </w:p>
    <w:p>
      <w:r>
        <w:t>Es sind vier Erkenntnisstufen zu unterscheiden. Erstens liegen bestimmte Dokumente mit bestimmtem Inhalt vor. Zweitens berichten deren Autoren über Erhebungen und Ergebnisse. Drittens lässt sich die beschriebene Methodik auf erkennbare Grenzen und Folgerungsfehler prüfen. Viertens wäre eine unabhängige Replikation anhand der Rohdaten, Programme und Originalsendungen erforderlich. Diese Revision erreicht die ersten drei Stufen im jeweils ausgewiesenen Umfang; sie behauptet nicht, die vierte bereits erledigt zu haben.</w:t>
      </w:r>
    </w:p>
    <w:p>
      <w:r>
        <w:t>Die neue Quellenlage ist deshalb weder wertlos noch ein fertiger Endbeweis. Sie macht konkrete Forschungsarbeit sichtbar und ermöglicht enger gefasste Nachfragen. Gerade dadurch kann der bisher abstrakte Vortrag zur Prüfbarkeit präzisiert werden. Der Leser muss aber erkennen können, welche Aussage aus einer Anlage stammt, welche methodische Schlussfolgerung hier gezogen wird und welcher Schritt noch offen ist. Die Quellencodes U/R bezeichnen den bisherigen Bestand; N bezeichnet die in Q03 beschriebenen neuen Quellen.</w:t>
      </w:r>
    </w:p>
    <w:p>
      <w:pPr>
        <w:pStyle w:val="Heading1"/>
      </w:pPr>
      <w:r>
        <w:t>2. Die vier Originalgutachten: unterschiedliche Funktionen</w:t>
      </w:r>
    </w:p>
    <w:p>
      <w:r>
        <w:t>Das V-Gutachten entwickelt die Frage, ob eine praktisch nutzbare gerichtliche Programmkontrolle an ungleichen Erkenntnismöglichkeiten scheitern kann. Seine breiteren Kapitel zur Digitalisierung erläutern den Entstehungszusammenhang dieser Frage. Für einen konkreten Rundfunkprozess muss daraus jedoch abgeleitet werden, welche Bestände fehlen und warum ihre Beschaffung notwendig ist. Der Satz, eine technische Infrastruktur liege bei der Gegenseite, ersetzt diese Einzelfallableitung nicht. Die Originalfassung weist selbst darauf hin, dass sie weitere Aufklärung begründen und kein gerichtliches Sachverständigengutachten ersetzen soll. [U01, Hinweis vor dem Inhaltsverzeichnis]</w:t>
      </w:r>
    </w:p>
    <w:p>
      <w:r>
        <w:t>Das Rundfunkalarm-Gutachten untersucht einen anderen Gegenstand: die Nutzung des Beschwerdewegs und die in der vorliegenden Dokumentation nach außen erkennbare Korrekturwirkung. Es enthält eine konkrete Datenbasis, aber selbst einen ausdrücklichen Absicherungsvorbehalt hinsichtlich Rohdaten, Exportherkunft und Antwortanalyse. Seine methodische Fortentwicklung besteht nicht darin, diesen Vorbehalt zu streichen. Sie besteht darin, die fehlenden Verfahrensausgänge und die Verbindung zwischen Beschwerde, Sendung, Begründetheit und Reaktion nachvollziehbar zu erfassen. [U02, S. 1-5]</w:t>
      </w:r>
    </w:p>
    <w:p>
      <w:r>
        <w:t>Die Grundlagenuntersuchung beschreibt Erkenntnis als Voraussetzung gerichtlicher Beweisführung und entwickelt hierfür einen rechtlich-methodischen Ordnungsrahmen. Ihre Begriffe institutioneller Lebenssachverhalt, digitale Erkenntnisordnung und funktionale Kohärenz sind für die Strukturierung verwendbar. Sie sind aber keine ohne weitere Herleitung anwendbaren subjektiven Anspruchsnormen. Auch ein überzeugendes Erkenntnismodell ersetzt nicht die Prüfung der Statthaftigkeit eines Rechtsbehelfs oder der materiellen Anspruchsgrundlage eines Zugangsbegehrens. [U04]</w:t>
      </w:r>
    </w:p>
    <w:p>
      <w:r>
        <w:t>Das Kurzgutachten beschreibt sich selbst als Anwendung des Grundlagenwerks auf den Streitfall, nicht als Ersatz desselben. Diese ursprüngliche Arbeitsteilung wird in Version 3 wieder sichtbar gemacht. Die vier Texte dürfen gemeinsam eingereicht werden, wenn ihre jeweiligen Funktionen und Fundstellen erschlossen sind. Es wäre dagegen unzutreffend, aus vier Dateien vier voneinander unabhängige empirische Bestätigungen einer Programmverfehlung abzuleiten. [U03, S. 3-4]</w:t>
      </w:r>
    </w:p>
    <w:p>
      <w:pPr>
        <w:pStyle w:val="Heading1"/>
      </w:pPr>
      <w:r>
        <w:t>3. Das Erkenntnisproblem genauer fassen</w:t>
      </w:r>
    </w:p>
    <w:p>
      <w:r>
        <w:t>Die Unterscheidung von Erkenntnis und Beweis bleibt wichtig. Vor einer gerichtlichen Würdigung muss eine streitige Tatsachenbehauptung so bestimmt sein, dass erkennbar wird, was aufgeklärt werden soll. Manche Tatsachen sind aus öffentlichen Programmen unmittelbar erschließbar; andere betreffen Bestände, Auswahlvorgänge oder Kontrollen innerhalb einer Organisation. Wieder andere sollen erst durch wissenschaftliche Bewertung vieler Einzelbeobachtungen gewonnen werden. Diese drei Situationen haben unterschiedliche Zugangs- und Beweismittelbedürfnisse.</w:t>
      </w:r>
    </w:p>
    <w:p>
      <w:r>
        <w:t>Ein Rohvideo ist eine andere Erkenntnisquelle als ein automatisch erzeugtes Transkript. Ein Sendeverzeichnis ist etwas anderes als eine vollständige Kopie aller ausgestrahlten Inhalte. Ein internes Qualitätsdokument beschreibt ein Verfahren, aber nicht notwendigerweise dessen tatsächliche Umsetzung. Eine Beschwerde dokumentiert einen Einwand, aber nicht dessen Richtigkeit. Werden all diese Gegenstände unterschiedslos Rohdaten genannt, kann das Gericht weder Notwendigkeit noch Verhältnismäßigkeit eines Begehrens sinnvoll prüfen.</w:t>
      </w:r>
    </w:p>
    <w:p>
      <w:r>
        <w:t>Die neue Architektur trennt daher veröffentlichte Inhalte, beschreibende Metadaten, vorhandene Transkripte, Bestands- und Verfügbarkeitsverzeichnisse, Beschwerde- und Ergebnisakten sowie nichtöffentliche redaktionelle Entscheidungsunterlagen. Für jede Gruppe sind Bestand, Inhaber, Zeitraum, Forschungszweck, alternative Beschaffungsmöglichkeit, Rechte Dritter und vertretbare Zugangsform zu dokumentieren. Nicht jede theoretisch hilfreiche Information ist entscheidungserheblich oder rechtlich herauszugeben. [P15; R03, § 99; R13-R16]</w:t>
      </w:r>
    </w:p>
    <w:p>
      <w:pPr>
        <w:pStyle w:val="Heading1"/>
      </w:pPr>
      <w:r>
        <w:t>4. Gesamtangebot ist nicht gleich vollständige Zählung jeder Minute</w:t>
      </w:r>
    </w:p>
    <w:p>
      <w:r>
        <w:t>Aus einem rechtlichen Prüfungsmaßstab, der das Gesamtangebot betrifft, folgt nicht logisch, dass jede Minute dieses Angebots einzeln erfasst werden muss. Es folgt aber ebenso wenig, dass eine beliebige Sammlung von Beispielen repräsentativ ist. Dazwischen liegt die methodische Aufgabe, einen nachvollziehbaren Zusammenhang zwischen untersuchter Stichprobe und Zielpopulation herzustellen. Der Begriff Vollanalyse muss deshalb jeweils erklärt werden: umfassender Untersuchungsrahmen, vollständiger Korpus eines Formats und tatsächliche Vollerhebung aller Angebote sind verschiedene Konzepte.</w:t>
      </w:r>
    </w:p>
    <w:p>
      <w:r>
        <w:t>Ein tragfähiger Auswahlrahmen verzeichnet für die relevante Zeit die Veranstalter, ihre Angebote, Mediengattungen, Formatgruppen, linearen und nichtlinearen Ausspielwege sowie relevante Änderungen. Er wird nicht aus der gegenwärtigen Senderliste rückwärts erfunden. Gemeinsame Programme und mehrfache Ausspielungen sind so abzubilden, dass dieselbe redaktionelle Einheit nicht ohne Begründung mehrfach als unabhängiger Befund gezählt wird. Fehlende Einheiten bleiben im Rahmen sichtbar; sie werden nicht aus dem Nenner gelöscht, nur weil sie schwer zugänglich sind.</w:t>
      </w:r>
    </w:p>
    <w:p>
      <w:r>
        <w:t>Eine geschichtete Auswahl kann beispielsweise nach Veranstalter, Medium, Formatgruppe und Zeitblock erfolgen. Innerhalb der Schichten werden die Einheiten nach einer vorab festgelegten Regel gezogen. Anlässe, die selten auftreten, können gezielt ergänzt werden; diese Ergänzungsstichprobe ist dann getrennt auszuweisen und entsprechend zu gewichten. Die Zahl benötigter Fälle richtet sich nach der konkreten Messfrage und der erwarteten Unsicherheit. Sie lässt sich nicht seriös mit einer einzigen für alle Fragestellungen identischen Mindestzahl beantworten.</w:t>
      </w:r>
    </w:p>
    <w:p>
      <w:r>
        <w:t>Eine Auswahl allein nach öffentlicher Verfügbarkeit ist eine Verfügbarkeitsstichprobe. Sie kann wertvolle Befunde liefern, ist aber nicht schon wegen ihres Umfangs repräsentativ. Sind bestimmte Formate oder Zeiträume häufiger depubliziert, kann der erreichbare Korpus systematisch anders zusammengesetzt sein als das ursprüngliche Angebot. Die fehlenden Einheiten und ihre erkennbaren Merkmale werden deshalb beschrieben; soweit möglich werden Nachbeschaffung, alternative Archive und Sensitivitätsanalysen eingesetzt. Gelingt dies nicht, wird die Reichweite der Aussage begrenzt.</w:t>
      </w:r>
    </w:p>
    <w:p>
      <w:r>
        <w:t>Die Gewichte sind ebenfalls begründungsbedürftig. Eine Auswertung nach Beitragsanzahl beschreibt etwas anderes als eine Auswertung nach Sendedauer oder Publikumsreichweite. Reichweite macht ein Format gesellschaftlich wichtig, aber nicht allein rechtlich repräsentativ für alle anderen Angebote. Zu berichten sind deshalb mehrere nachvollziehbare Perspektiven, nicht ein nach dem gewünschten Ergebnis ausgewähltes Gewicht. Der rechtliche Schluss bleibt Aufgabe des Gerichts.</w:t>
      </w:r>
    </w:p>
    <w:p>
      <w:pPr>
        <w:pStyle w:val="Heading1"/>
      </w:pPr>
      <w:r>
        <w:t>5. Zeitfenster, historische Daten und Aktualität</w:t>
      </w:r>
    </w:p>
    <w:p>
      <w:r>
        <w:t>Die Zuordnung zur streitigen Periode ist eine eigenständige Prüfaufgabe. Bei der Programmrüge wird das Ende des mindestens zweijährigen Betrachtungsfensters an das Ende des im Bescheid abgerechneten Zeitraums angeschlossen, nicht automatisch an den Erlass des Bescheids oder den Zeitpunkt des Widerspruchsbescheids. Eine spätere wissenschaftliche Auswertung historischer Sendungen ist möglich, wenn die Quellen belastbar erhalten sind. Spätere Sendungen beweisen dagegen nicht ohne weitere Brücke den Zustand einer früheren Periode. [R01, Rn. 41]</w:t>
      </w:r>
    </w:p>
    <w:p>
      <w:r>
        <w:t>Beispiel ausschließlich zur Zeitlogik: Endet der abgerechnete Zeitraum am 31.03.2024, kann das regelmäßige zweijährige Fenster vom 01.04.2022 bis 31.03.2024 gebildet werden. Ein erst im Herbst 2026 erstelltes Gutachten könnte dieses Fenster auswerten. Ein Korpus, der erst im September 2025 beginnt, kann es nicht unmittelbar abdecken. Bei mehreren Bescheiden müssen die Fenster einzeln dokumentiert und Überschneidungen benannt werden. Für längere Abrechnungsperioden ist eine sachgerechte längere Betrachtung gesondert festzulegen.</w:t>
      </w:r>
    </w:p>
    <w:p>
      <w:r>
        <w:t>Eine 15-jährige Gesamtauswertung ist für eine zweijährige Periode nicht automatisch aussagekräftiger als eine gezielt passende Untersuchung. Langfristige Mittelwerte können Veränderungen innerhalb des relevanten Fensters verdecken. Umgekehrt kann ein weitreichender Korpus zeitlich passende Teilanalysen und einen historischen Vergleich ermöglichen. Dafür werden die Einzelwerte mit Datum, Segment und Version benötigt, nicht lediglich eine Gesamtkurve als Bild. [N02]</w:t>
      </w:r>
    </w:p>
    <w:p>
      <w:pPr>
        <w:pStyle w:val="Heading1"/>
      </w:pPr>
      <w:r>
        <w:t>6. Glashaus: was gemessen wird und was nicht</w:t>
      </w:r>
    </w:p>
    <w:p>
      <w:r>
        <w:t>Das Whitepaper vom 25.06.2026 untersucht markierte Meinungskommentare der ARD-Tagesthemen im Zeitraum 26.04.2010 bis 13.11.2025. Es nennt 5.597 bereinigte Folgen und 2.911 verifizierte Kommentarsegmente mit 16.226 gültigen Einzelbewertungen. Die Arbeit verbindet Transkriptextraktion, thematische Zuordnung, textuellen Abgleich mit jeweils zugeordneten Wahlprogrammen und modellgestützte Bewertung. Das ist ein konkreter, langfristiger und gegenständlich eingegrenzter Forschungsansatz. Die Arbeit selbst schließt Nachrichtenbeiträge und weitere Formate aus. [N02, S. 1-2, 6-8]</w:t>
      </w:r>
    </w:p>
    <w:p>
      <w:r>
        <w:t>Der Messgegenstand ist programmatische Textnähe. Ein solcher Messwert darf nicht mit journalistischer Wahrheit, umfassender Meinungsvielfalt, parteipolitischer Steuerung oder einem gesetzlichen Gleichgewichtsgebot gleichgesetzt werden. Parteiprogramme sind Referenztexte, nicht das vollständige Spektrum gesellschaftlich relevanter Standpunkte. Eine Kommentierung kann in einer Sachfrage einem Referenztext ähneln, ohne redaktionell von dessen Verfasser gesteuert zu sein. Eine Abweichung kann fachlich begründet sein. Diese Alternativen sind nicht erst Gegenargumente der Beklagten, sondern Teil der eigenen Validitätsprüfung.</w:t>
      </w:r>
    </w:p>
    <w:p>
      <w:r>
        <w:t>Die Abgrenzung des Meinungsteils ist zugleich Stärke und Grenze. Die transparente Kennzeichnung lässt erkennen, dass ein einzelner Kommentar eine Haltung vertreten darf. Sie verhindert nicht die wissenschaftliche Frage, wie vielfältig ein längerfristiges Spektrum von Kommentaren ist. Der rechtliche Rückschluss auf das Gesamtangebot verlangt aber die Einbeziehung anderer Formate und möglicher ergänzender Positionen. Ein einzelnes Format darf weder stellvertretend für alle Angebote verurteilt noch deswegen für bedeutungslos erklärt werden.</w:t>
      </w:r>
    </w:p>
    <w:p>
      <w:r>
        <w:t>Die Arbeit bezeichnet ihre Bewertungslogik als validiertes Ensemble mehrerer Sprachmodelle und nennt zugleich eine nicht unabhängig bestimmte politische Kalibrierung. Im vorgelegten PDF sind die für eine eigene Replikation erforderlichen Einzelheiten nicht vollständig ersichtlich: Modellbezeichnungen und Versionen, vollständige Prompts, Parameter, Gewichtung der Modelle, Auswahllogik der Referenzpassagen sowie ein offen einsehbarer menschlicher Prüfdatensatz. Diese Dokumente werden mit P17 konkret angefordert. Ihre fehlende Vorlage beweist nicht, dass sie nicht existieren; sie begrenzt die hier mögliche Prüfung. [N02, S. 7-8, 12-14]</w:t>
      </w:r>
    </w:p>
    <w:p>
      <w:r>
        <w:t>Reproduzierbarkeit eines technischen Ablaufs und Gültigkeit einer Messung sind verschiedene Fragen. Ein Verfahren kann denselben Fehler zuverlässig wiederholen. Mehrere Modelle können gemeinsame blinde Flecken besitzen. Die Aussage, eine relative Anordnung sei robuster als absolute Werte, gilt nicht allgemein bei ungleich verteilten Fehlern. Unterscheiden sich Fehler etwa nach Thema, Textlänge oder Referenztext, können auch relative Beziehungen verzerrt sein. Deshalb sind unabhängige menschliche Referenzbewertungen und eine Analyse der Fehlerverteilung erforderlich, nicht allein ein zweites Sprachmodell.</w:t>
      </w:r>
    </w:p>
    <w:p>
      <w:r>
        <w:t>Besonders klärungsbedürftig ist die Nullcodierung. Das Whitepaper verwendet Null für keinen erkennbaren Programmbezug, nennt aber auch einen konservativen Fehlermodus bei fehlendem Treffer. Inhaltliche Beziehungslosigkeit und technische Nichtklassifizierbarkeit dürfen in der Qualitätskontrolle nicht undifferenziert zusammenfallen. Die Häufigkeitskurven ohne Nullwerte und Mittelwerte mit Nullwerten beantworten zudem unterschiedliche Fragen. Für eine gerichtliche Verwendung sind Umfang und Folgen dieser Entscheidungen offenzulegen. [N02, S. 7, 12]</w:t>
      </w:r>
    </w:p>
    <w:p>
      <w:r>
        <w:t>Die Zeitreihe bringt weitere Anforderungen mit sich. Aufeinanderfolgende Kommentare zu derselben politischen Debatte sind nicht notwendig unabhängige Beobachtungen. Glättung kann kurzfristige Ausschläge dämpfen, zeigt aber für sich keine statistische Sicherheit. Bei Unsicherheitsanalysen sind zusammenhängende Zeitblöcke, Themenhäufungen und unterschiedliche Fallzahlen zu berücksichtigen. Die kleine Zahl von Kommentaren in einzelnen Themen- und Wahlkampfgruppen begrenzt dort besonders weitreichende Folgerungen. Die im Whitepaper genannten fehlenden Gesamtsignifikanzen werden nicht als bewiesene Wahlkampfbeeinflussung umgedeutet. [N02, S. 10-15]</w:t>
      </w:r>
    </w:p>
    <w:p>
      <w:r>
        <w:t>Auch die Regierungsrolle ist nicht bereits durch den Vergleich insgesamt ähnlicher Regierungsdauern kontrolliert. Zeit, Themen, zuständige Ressorts, konkrete Ereignisse und unterschiedliche Koalitionsrollen können sich zugleich verändern. Die Arbeit bezeichnet die Regierungsbeteiligung selbst als nicht kontrollierte Strukturvariable. Eine weiterführende Analyse muss solche Faktoren nach einer vorab begründeten Regel einbeziehen, statt die verbleibenden Unterschiede automatisch einer einzigen Ursache zuzuschreiben. [N02, S. 13]</w:t>
      </w:r>
    </w:p>
    <w:p>
      <w:r>
        <w:t>Gerichtlich verwendbar ist daher zunächst die konkrete Darstellung dieses Langzeitkorpus, seiner behaupteten Messmuster, seiner Methodik und Grenzen. Ein stärkerer Schluss setzt die Nachprüfung der Einzelwerte und die zeitlich passende Teilanalyse voraus. Das Whitepaper kann eine begrenzte Nachfrage nach vorhandenen internen Bewertungen dieser konkreten Studie begründen; es schafft selbst keine neue gesetzliche Auskunftsnorm.</w:t>
      </w:r>
    </w:p>
    <w:p>
      <w:pPr>
        <w:pStyle w:val="Heading1"/>
      </w:pPr>
      <w:r>
        <w:t>7. O-Ton-Gutachten: technische Erkennung und Stichprobenfehler</w:t>
      </w:r>
    </w:p>
    <w:p>
      <w:r>
        <w:t>Der durch Jens Braun übermittelte Bericht bezeichnet sich als technische Auswertung beziehungsweise beweissicherungsnahe Dokumentation. Gezählt werden O-Ton-Einbindungen mit Parteizuordnung in einer im Video sichtbaren Namens- beziehungsweise Parteizeile. Der Bericht schließt Moderatorenrede, bloße Parteierwähnungen und inhaltliche Tendenz ausdrücklich aus. Diese enge Definition ist methodisch nützlich: Sie verhindert, dass eine Zählung als umfassende Analyse aller Redeanteile verstanden wird. [N03, S. 1, 3]</w:t>
      </w:r>
    </w:p>
    <w:p>
      <w:r>
        <w:t>Die Verfahrenswege unterscheiden sich jedoch. Bei der Tagesschau werden farbige Untertitelfenster als Kandidaten verwendet und einzelne Bilder innerhalb eines Segments ausgewertet. Bei den anderen Formaten werden Videobilder in Abständen von sechs Sekunden auf die Parteizeile untersucht. Diese Unterschiede können die Wahrscheinlichkeit verändern, kurze Einblendungen, schnelle Sprecherwechsel oder lückenhaft beschriftete O-Töne zu erfassen. Vergleichbarkeit ist deshalb nicht allein durch die gemeinsame Bezeichnung O-Ton gegeben. [N03, S. 7-10]</w:t>
      </w:r>
    </w:p>
    <w:p>
      <w:r>
        <w:t>Ein technischer Treffer benötigt zwei Kontrollen: Stimmt die gelesene Namens-/Parteizeile, und wurde der Treffer zu einer sachgerechten Einheit zusammengefasst? Ein Algorithmus kann denselben Sprecher bei Unterbrechungen mehrfach zählen oder mehrere unterschiedliche Sprecher bei gleicher Parteizeile zusammenziehen. Er kann Namen ohne Parteikürzel übersehen oder Text eines anderen Bildbereichs fälschlich als Parteizeile werten. Die Prüfung muss daher nicht nur falsch erkannte Treffer, sondern auch ausgelassene reale Ereignisse suchen.</w:t>
      </w:r>
    </w:p>
    <w:p>
      <w:r>
        <w:t>Dafür wird eine unabhängig gezogene, nach Format, Zeit, Grafiktyp und Erkennungsstatus geschichtete Stichprobe von Originalvideos benötigt. Menschen bestimmen darin nach einem dokumentierten Leitfaden die Referenzereignisse. Sodann werden richtig erkannte, falsch zugeordnete und fehlende Ereignisse verglichen. Präzision und Trefferquote sind nach relevanten Untergruppen auszuweisen. Ein insgesamt kleiner Fehler kann erheblich sein, wenn er in einer kleinen Gruppe konzentriert ist. Ein bloßer stichprobenartiger Blick auf besonders klare positive Treffer reicht nicht.</w:t>
      </w:r>
    </w:p>
    <w:p>
      <w:r>
        <w:t>Die im Bericht mit Claude beschriebene unabhängige Prüfung betrifft nach dessen eigenem Schluss die innere rechnerische und strukturelle Konsistenz. Aus den erfassten Rohdaten sollen die berichteten Kennzahlen richtig abgeleitet sein. Der Bericht sagt ausdrücklich, dass die OCR-Erkennung selbst nicht nochmals am Videomaterial geprüft wurde und die Prüfung keine menschliche Kontrolle ersetzt. Deshalb wird die Formulierung vollständig geprüft in der gerichtlichen Einordnung auf diesen engeren Sinn beschränkt. Ein Hashwert belegt ebenfalls Dateiintegrität, nicht inhaltliche Richtigkeit. [N03, S. 16-17]</w:t>
      </w:r>
    </w:p>
    <w:p>
      <w:r>
        <w:t>Die Korpora sind zeitlich und quantitativ stark verschieden. Die Tagesschau- und heute-Auswertungen enthalten 354 beziehungsweise 364 verfügbare Folgen aus einem etwa einjährigen Zeitraum. BR24 umfasst 19, hessenschau 26 Folgen aus deutlich engeren und nicht identischen Fenstern. Kleine Zählwerte und ausbleibende Treffer sind dort besonders wenig geeignet, stabile Eigenschaften eines Jahres oder des Gesamtangebots zu beschreiben. Die Auswahl nach Mediathekverfügbarkeit ist keine nachgewiesene Zufallsauswahl. [N03, S. 3-10]</w:t>
      </w:r>
    </w:p>
    <w:p>
      <w:r>
        <w:t>Der historische Vergleich mit 2006 ist zusätzlich durch eine im Bericht selbst genannte OCR-Leerrate von durchschnittlich 46,3 Prozent belastet. Ohne Kenntnis der Verteilung dieser Ausfälle kann eine systematische Untererfassung bestimmter Einheiten nicht ausgeschlossen werden. Ein Unterschied zwischen zwei Korrelationen aus jeweils wenigen Parteien belegt deshalb nicht ohne Weiteres eine historische Verschlechterung. Auch die unterschiedliche Gesamtzahl der Ereignisse ist für die Deutung absoluter Abweichungen zu berücksichtigen. [N03, S. 10-12]</w:t>
      </w:r>
    </w:p>
    <w:p>
      <w:r>
        <w:t>Der Vergleich mit parlamentarischen Sitzanteilen ist ein beschreibender Vergleich, keine unmittelbar geltende Norm für Nachrichtenauftritte. Regierungsämter, Oppositionsfunktionen, landespolitische Zuständigkeit, Themen und Ereignisse können die berichteten Häufigkeiten beeinflussen. Die zusätzliche Rechnung ohne die einer bestimmten Person zugeordneten Auftritte ist eine nachvollziehbare Sensitivitätsüberlegung; sie ersetzt aber keine umfassende Kontrolle institutioneller Rollen. Der Schluss darf nicht lauten, jeder verbleibende Unterschied sei damit redaktionelle Parteilichkeit.</w:t>
      </w:r>
    </w:p>
    <w:p>
      <w:r>
        <w:t>Ein weiterer formaler Klärungspunkt betrifft den Stand: Das Deckblatt nennt 16.09.2026, die hessenschau-Reihe reicht im Text bis 17.09.2026. Möglich sind eine nachträgliche Ergänzung oder ein redaktionell nicht aktualisiertes Deckblatt. Es wird weder eine Fälschung noch eine bestimmte Erklärung unterstellt. Benötigt werden die tatsächliche Version, Exportzeit, Erhebungszeit und das zugehörige unveränderte Dateipaket. Auch die Autorrolle muss durch eine verantwortliche Person konkretisiert werden. [N03, S. 1, 10, 12]</w:t>
      </w:r>
    </w:p>
    <w:p>
      <w:pPr>
        <w:pStyle w:val="Heading1"/>
      </w:pPr>
      <w:r>
        <w:t>8. Was die beiden neuen Studien gemeinsam verändern</w:t>
      </w:r>
    </w:p>
    <w:p>
      <w:r>
        <w:t>Erstens liegen nun benannte, tatsächlich durchgeführte Auswertungen mit messbaren Korpora und beschriebenen Verfahren vor. Der Vorwurf, es werde nur eine spätere KI-Untersuchung angekündigt, kann deshalb für diese Vorarbeiten konkret beantwortet werden. Zweitens liefern die Studien selbst Hinweise auf Datenzugänge und -grenzen. Drittens machen sie deutlich, dass eine prozessuale Strategie nicht bei abstrakten Grundrechtsformeln stehenbleiben darf: Die Gerichtsfassung muss den jeweiligen Korpus und den noch fehlenden Erkenntnisschritt benennen.</w:t>
      </w:r>
    </w:p>
    <w:p>
      <w:r>
        <w:t>Die Arbeiten ergeben aber keine gemeinsame Skala. Kommentarähnlichkeit, O-Ton-Anzahl, Beschwerdehäufigkeit und intern behaupteter Entscheidungsdruck sind keine addierbaren Messwerte. Sie können sich ergänzen, widersprechen oder unterschiedliche Teile desselben Angebots beschreiben. Ein Unterschied zwischen zwei Studien ist deshalb zuerst eine Frage nach Messgegenstand, Zeitraum und Auswahl, nicht ein Anlass, eine der Studien nur nach ihrer argumentativen Nützlichkeit zu verwerfen.</w:t>
      </w:r>
    </w:p>
    <w:p>
      <w:r>
        <w:t>Die sachgerechte Synthese besteht in einem Prüfplan: Welcher Befund wird unter veränderten Methoden und in weiteren Zeitfenstern erneut beobachtet? Welche alternativen Erklärungen bleiben bestehen? Welche Formate zeigen Gegenbeispiele? Welche fehlenden Einheiten könnten die Schlussfolgerung verändern? Diese Fragen machen die Kombination wissenschaftlich ergiebig, ohne die vorliegenden Daten zu überlasten.</w:t>
      </w:r>
    </w:p>
    <w:p>
      <w:pPr>
        <w:pStyle w:val="Heading1"/>
      </w:pPr>
      <w:r>
        <w:t>9. Beschwerde- und Gremienkontrolle weiterentwickeln</w:t>
      </w:r>
    </w:p>
    <w:p>
      <w:r>
        <w:t>Der Rundfunkalarm-Bestand nennt 4.086 Ursprungsvorgänge, 118.627 Teilungen und 3.329 Rundfunkratsinformationen im Export. Daneben nennt er abweichende Summen einer öffentlichen Statistikseite. Die Kategorien bezeichnen unterschiedliche Einheiten und teilweise unterschiedliche Stände. Sie sind nicht zu einer einzigen Zahl unabhängiger Beschwerdefälle zusammenzuzählen. Der künftige Bericht muss Exportdatum, Filterregeln, Duplikate, Statusänderungen und das Verhältnis zur öffentlichen Anzeige erläutern. [U02, S. 2-3]</w:t>
      </w:r>
    </w:p>
    <w:p>
      <w:r>
        <w:t>Ein geeignetes Datenmodell enthält eine Ursprungsvorgangs-ID, getrennte Versand- und Teilungsvorgänge, Anstalt, Format, Sendung, Zeitpunkt, konkreten Beschwerdeinhalt, verwendete Norm, Eingangsnachweis, Antwort, Gremienbefassung und dokumentiertes Ergebnis. Personenbezogene Angaben werden in der Forschungsfassung pseudonymisiert. Originaldateien bleiben in einem zugriffsbeschränkten Belegbestand; Prüfsummen und Exporterklärung sichern die Herkunft. Eine eidesstattliche Erklärung zur eigenen Datenhandhabung ersetzt nicht die unabhängige Prüfung der behaupteten Programmfehler.</w:t>
      </w:r>
    </w:p>
    <w:p>
      <w:r>
        <w:t>Die materielle Begründetheit der Beschwerde ist von ihrem Verfahrensausgang zu trennen. Ein Eingangsschreiben kann nachgewiesen sein, obwohl eine abschließende Antwort fehlt. Eine Zurückweisung kann richtig oder falsch sein. Eine Korrektur kann außerhalb der Antwort sichtbar werden. Ein Vorgang, dessen Ausgang unbekannt ist, wird nicht als erfolglos codiert. Für die Aussage keine erkennbare Korrektur ist zu benennen, welche Nachforschungen eine außerhalb des Portals vorgenommene Korrektur hätten erkennen können.</w:t>
      </w:r>
    </w:p>
    <w:p>
      <w:r>
        <w:t>Ein transparentes Kategoriensystem definiert beispielsweise Eingang bestätigt, sachlich beantwortet, förmlich nicht behandelt, an andere Stelle abgegeben, ganz oder teilweise abgeholfen, begründet zurückgewiesen und Ausgang unbekannt. Die Begriffe werden anhand von Grenzfällen erläutert. Eine unabhängige Doppelcodierung eines begründeten Anteils der Vorgänge prüft nicht nur Übereinstimmung, sondern die Ursachen von Abweichungen. Strittige Codierungen werden dokumentiert entschieden; der Leitfaden erhält eine Version.</w:t>
      </w:r>
    </w:p>
    <w:p>
      <w:r>
        <w:t>Die Teilnehmer des Portals bilden keine nachgewiesene repräsentative Stichprobe aller Zuschauer oder aller Beschwerdefälle. Ein nationales Wirkungsurteil erfordert daher eine entsprechende Einschränkung oder weitere Daten. Alle Rundfunkanstalten sollten im Auswahlrahmen sichtbar sein; eine fehlende Beschwerde im Portal bedeutet nicht, dass dort nie Beschwerden eingingen. Umgekehrt kann eine konzentrierte Fallserie bei einer bestimmten Anstalt deren konkrete Reaktionspraxis beschreiben, ohne Repräsentativität für das ganze System zu beanspruchen.</w:t>
      </w:r>
    </w:p>
    <w:p>
      <w:r>
        <w:t>Besonders aussagekräftig wäre ein längschnittlicher Zusammenhang: Ein nach nachvollziehbaren Kriterien festgestellter Fehler wird beanstandet; die zuständige Stelle erhält einen konkreten Hinweis; anschließend wird in methodisch vergleichbaren Beiträgen untersucht, ob und wie das Merkmal fortbesteht. Hierzu sind positive Gegenbeispiele, veränderte Redaktionsrichtlinien und zeitlich verzögerte Abhilfe ebenso zu erfassen. Erst dann kann eine differenzierte Aussage über Korrektur und Lernen getroffen werden, statt jede fehlende sofortige Abhilfe als wirkungslose Kontrolle zu deuten.</w:t>
      </w:r>
    </w:p>
    <w:p>
      <w:pPr>
        <w:pStyle w:val="Heading1"/>
      </w:pPr>
      <w:r>
        <w:t>10. Produktionsseite: eigene Wahrnehmung statt Motivbehauptung</w:t>
      </w:r>
    </w:p>
    <w:p>
      <w:r>
        <w:t>Die Produktionsseite erweitert den Untersuchungsansatz um konkrete Abläufe zwischen Rechercheidee und veröffentlichtem Beitrag. Relevante Gegenstände können Themenentscheidungen, dokumentierte Quellenprüfung, Begründung von Ablehnungen und fachliche Beschwerdewege sein. Hierarchische Entscheidung allein ist jedoch kein Beweis unzulässiger Einflussnahme. Redaktionen müssen Auswahlentscheidungen treffen. Die empirische Frage betrifft den konkreten Grund, das wiederkehrende Muster und die nachvollziehbare Auswirkung auf das Programm.</w:t>
      </w:r>
    </w:p>
    <w:p>
      <w:r>
        <w:t>Joe Sperling schilderte im FOCUS-Interview vom 22.10.2025 interne Auseinandersetzungen, eine Versetzung und Einschränkungen von Recherchen. Das ZDF widersprach der Einordnung als Strafversetzung und erklärte den Wechsel mit einer befristeten Zuordnung; zudem wurde eine erstinstanzliche arbeitsgerichtliche Klageabweisung berichtet. Weder das Interview noch die Gegendarstellung ersetzen die zugrunde liegenden Unterlagen oder das Urteil. Der aktuelle arbeitsgerichtliche Verfahrensstand ist hier nicht festgestellt. [N10]</w:t>
      </w:r>
    </w:p>
    <w:p>
      <w:r>
        <w:t>Für eine mögliche Zeugenaussage ist entscheidend, welche einzelne Person was selbst wahrgenommen hat. Ein Bericht über Erfahrungen anderer Beschäftigter ist von eigener Beteiligung zu trennen. Eine Erinnerungsdarstellung braucht Datum, Projekt, handelnde Stelle und mögliche Unterlagen. Rechtmäßige Vertraulichkeits- und Quellenschutzinteressen werden beachtet; die Forschung fordert nicht pauschal vertrauliche Quellenidentitäten oder geschütztes Material. Dokumente können geschwärzt, stufenweise oder gegebenenfalls erst gerichtsförmig zugänglich werden.</w:t>
      </w:r>
    </w:p>
    <w:p>
      <w:r>
        <w:t>Eine Verbindung mit der Output-Ebene entsteht erst, wenn ein betroffenes Rechercheprojekt einer konkreten Sendung oder einem nachweislich unterlassenen beziehungsweise veränderten Beitrag zugeordnet werden kann. Für behauptete Nichtveröffentlichung muss die Auswahlregel erkennbar sein: Welche vergleichbaren Vorschläge wurden angenommen, welche nicht und aus welchen Gründen? Ein einzelner Konflikt kann einen konkreten Mechanismus beleuchten, aber nicht ohne weitere Grundlage das gesamte ZDF oder den öffentlich-rechtlichen Rundfunk repräsentieren.</w:t>
      </w:r>
    </w:p>
    <w:p>
      <w:pPr>
        <w:pStyle w:val="Heading1"/>
      </w:pPr>
      <w:r>
        <w:t>11. Informationsasymmetrie nach den neuen Befunden</w:t>
      </w:r>
    </w:p>
    <w:p>
      <w:r>
        <w:t>Die starke Form der These, alle für Medienanalyse erforderlichen Daten seien ausschließlich beim Rundfunk vorhanden, ist durch die vorliegenden Arbeiten nicht gedeckt. Beide Studien verwenden nach eigener Darstellung in erheblichem Umfang öffentliche Materialien. Die schwächere und präzisere These bleibt prüfbar: Bestimmte nach einer offengelegten Methode notwendige Teile oder Metainformationen sind auf zumutbaren öffentlichen Wegen nicht erreichbar, obwohl sie bei einer bestimmten Anstalt existieren könnten oder nachgewiesen existieren.</w:t>
      </w:r>
    </w:p>
    <w:p>
      <w:r>
        <w:t>Für jede behauptete Lücke ist deshalb zu dokumentieren, ob Inhalte nicht ausgestrahlt wurden, ausgestrahlt aber nicht gefunden wurden, nicht mehr online stehen, nur von einem bestimmten Ort unzugänglich sind, technisch nicht verarbeitet werden konnten oder unter bestimmten Bedingungen im Archiv nutzbar sind. Diese Zustände haben verschiedene Rechtsfolgen und verschiedene Forschungsmöglichkeiten. Die Gleichsetzung von nicht in der Mediathek und nicht verfügbar würde die eigene Argumentation unnötig angreifbar machen.</w:t>
      </w:r>
    </w:p>
    <w:p>
      <w:r>
        <w:t>P15 verbindet die technische Dokumentation mit dem konkreten Erkenntniszweck. Eine Liste tausender fehlender Dateien ohne Erklärung ihrer Bedeutung bleibt zu breit. Umgekehrt kann eine begrenzte, nach dem Auswahlplan gezogene Teilmenge fehlender Ausgaben eine handhabbare Mitwirkungsfrage begründen. Das Angebot von Vor-Ort-Einsicht, bestehender Standardexporte, geschwärzten Unterlagen oder abgestufter Bereitstellung zeigt, dass nicht der maximale Einblick in Redaktionsarbeit verlangt wird.</w:t>
      </w:r>
    </w:p>
    <w:p>
      <w:pPr>
        <w:pStyle w:val="Heading1"/>
      </w:pPr>
      <w:r>
        <w:t>12. OVG Rheinland-Pfalz: Fallstudie unter Quellenvorbehalt</w:t>
      </w:r>
    </w:p>
    <w:p>
      <w:r>
        <w:t>Schmitz beschreibt auf den Seiten 141-152 seines Werks die Entscheidung 7 A 10424/25.OVG vom 17.03.2026 und berichtet von einem 230 Seiten umfassenden Schriftsatzmuster. Der Text ist eine kritische anwaltliche Interpretation. Bei dieser Revision wurde der Originalbeschluss nicht verlässlich beschafft. Deshalb ist die Fallstudie ein konkreter Rechercheauftrag, kein feststehender Nachweis, das OVG habe ausreichenden Tatsachenvortrag rechtswidrig ignoriert. [N01]</w:t>
      </w:r>
    </w:p>
    <w:p>
      <w:r>
        <w:t>Auch bei Bestätigung der zitierten Passagen bliebe die Akte wichtig. Ein Gericht kann logisch konsistent sagen, dass Verwaltungsgerichte substantiierte Programmrügen zu prüfen haben, und im konkreten Fall die Schwelle als nicht erreicht ansehen. Ein Widerspruch wäre erst dann begründet, wenn die Entscheidung gerade den nach ihrem eigenen Maßstab hinreichenden Vortrag ohne tragfähigen Grund von der Prüfung ausschließt oder einen maßgeblichen Tatsachenkern unzutreffend wiedergibt. Dazu bedarf es der Gegenüberstellung von Vortrag und Gründen.</w:t>
      </w:r>
    </w:p>
    <w:p>
      <w:r>
        <w:t>Ein Berufungszulassungsverfahren wirft außerdem die Frage auf, welche Angriffe gegen die erstinstanzliche Entscheidung im Rahmen des § 124a VwGO rechtzeitig und konkret dargelegt wurden. Ein umfangreicher erstinstanzlicher Schriftsatz ersetzt nicht automatisch diese Darlegung. Medizinische Gutachten über einen Pandemieaspekt sind auch nicht schon deshalb wissenschaftliche Gesamtprogrammanalysen. Diese Unterscheidungen müssen vor einer gerichtlichen Verwendung der Fallstudie geprüft werden.</w:t>
      </w:r>
    </w:p>
    <w:p>
      <w:r>
        <w:t>Die nützliche Forschungsfrage lautet daher: Welche tatsächlichen und methodischen Anforderungen wurden im konkreten Verfahren gestellt, welche davon erfüllte der eingereichte Vortrag und welche nachvollziehbaren Mängel nennt die Entscheidung? Seitenumfang wird nur als Metadatum erfasst. Der Fall kann die Zugangsproblematik anschaulich machen, aber nicht durch eine Seitenzahl beweisen, dass jede denkbare Substantiierung unmöglich ist.</w:t>
      </w:r>
    </w:p>
    <w:p>
      <w:pPr>
        <w:pStyle w:val="Heading1"/>
      </w:pPr>
      <w:r>
        <w:t>13. Berlin und Ansbach: konkrete Kritik bearbeiten</w:t>
      </w:r>
    </w:p>
    <w:p>
      <w:r>
        <w:t>Die Berliner Meldungen legen nahe, Antragsumfang und Wertfolgen systematisch zu prüfen. Sie unterscheiden jedoch nicht immer eindeutig zwischen Streitwert, Gerichtskosten, gegnerischen Gebühren und möglichen Beweisauslagen. Ohne Originalbeschlüsse ist weder eine verbindliche Kostenberechnung für die genannten Fälle noch die Behauptung möglich, jeder weitere Beweisantrag verursache einen neuen 5.000-Euro-Wert. K01 und A09 bearbeiten genau diese Unterscheidung. [N05]</w:t>
      </w:r>
    </w:p>
    <w:p>
      <w:r>
        <w:t>Die berichtete Ansbacher Kritik an Wiederholungen ist kein Grund, die gesamte Theorie zu streichen. Sie ist ein Anlass, Wiederholung und Herleitung auseinanderzuhalten. Eine knappe Synthese vorne und die vollständige Herleitung dahinter geben beiden Leserbedürfnissen Raum. Der Vorwurf unbenannter Studien wird durch ein explizites Studienregister beantwortet. Der Vorwurf unklarer Datenknappheit wird mit einem format- und zeitraumbezogenen Zugangsprotokoll bearbeitet. Der Vorwurf nur angekündigter Gutachten wird durch dokumentierte Aufträge und vorhandene Arbeiten beantwortet, nicht durch ein neues Zukunftsversprechen.</w:t>
      </w:r>
    </w:p>
    <w:p>
      <w:r>
        <w:t>Der scheinbare Widerspruch zwischen vorhandenen Studien und Datenlücken lässt sich nicht mit Rhetorik beseitigen. Er ist aufzulösen, indem vorhandene Teilkorpora und tatsächlich fehlende Teile getrennt werden. Eine gegenteilige Behauptung darf nur so weit erhoben werden, wie die dokumentierten Beschaffungsversuche sie tragen. Das betrifft auch den Nachweis, ob ein wissenschaftlicher Bearbeiter tatsächlich wegen fehlender Daten, wegen Kosten, wegen anderer Aufgaben oder aus methodischen Gründen nicht mitwirken konnte.</w:t>
      </w:r>
    </w:p>
    <w:p>
      <w:r>
        <w:t>Eine Vermutung über generative KI beweist weder Unrichtigkeit noch Richtigkeit eines Texts. Fachlich relevant sind nachprüfbare Quellen, korrekte Zitate, nachvollziehbare Begriffe und echte Erhebungen. Dass ein Projekt politisch positioniert oder durch Nutzer finanziert ist, erfordert Transparenz über Auftrag und Interessen, ersetzt aber keine Prüfung des konkreten Belegs. Die gerichtliche Reaktion darauf sollte daher sachlich bleiben: Welcher Satz ist unrichtig, welche Quelle fehlt, welcher Schluss ist methodisch nicht gedeckt? Pauschale Gegenangriffe auf Richter helfen bei dieser Prüfung nicht.</w:t>
      </w:r>
    </w:p>
    <w:p>
      <w:pPr>
        <w:pStyle w:val="Heading1"/>
      </w:pPr>
      <w:r>
        <w:t>14. Textbausteine und rechtliches Gehör</w:t>
      </w:r>
    </w:p>
    <w:p>
      <w:r>
        <w:t>Ein Textvergleich gerichtlicher Entscheidungen kann wiederkehrende Formulierungen sichtbar machen. Daraus folgt kein Rechtsverstoß. Zitierte Gesetze, höchstrichterliche Maßstäbe und gleichartige Verfahrenslagen führen zulässigerweise zu ähnlichen Formulierungen. Der rechtlich interessante Gegenstand ist nicht die Ähnlichkeit allein, sondern eine konkrete, möglicherweise entscheidungserhebliche Nichtbehandlung rechtzeitig eingeführten Vorbringens. [R03, §§ 86, 108]</w:t>
      </w:r>
    </w:p>
    <w:p>
      <w:r>
        <w:t>Für diese Untersuchung werden mindestens Urteil, vollständige maßgebliche Schriftsätze, eingereichte Anlagen, Zugangs- beziehungsweise Einreichungsnachweise, gerichtliche Hinweise und Sitzungsprotokoll benötigt. Eine Entscheidung, die vor Vorlage eines neuen Gutachtens ergangen ist, kann es nicht ignoriert haben. Ein Text, der aus einer anderen Gerichtsentscheidung zitiert wird, muss als Zitat erkannt werden. Eine abweichende rechtliche Beurteilung ist nicht ohne Weiteres fehlendes Gehör.</w:t>
      </w:r>
    </w:p>
    <w:p>
      <w:r>
        <w:t>Q04 und das beigefügte lokale Textvergleichsskript dienen der Sichtung. Das Skript meldet wiederverwendete Passagen und Kandidatenstellen, aber erstellt keine Rangliste von Richtern und trifft kein Urteil über Befangenheit, Automatisierung oder Rechtmäßigkeit. Jede rechtliche Folgerung bedarf einer menschlichen Aktenprüfung. Bisher liegt hier kein ausgewerteter, für solche Aussagen repräsentativer Urteilskorpus vor.</w:t>
      </w:r>
    </w:p>
    <w:p>
      <w:pPr>
        <w:pStyle w:val="Heading1"/>
      </w:pPr>
      <w:r>
        <w:t>15. Wissenschaftlicher Mindeststandard und Freigabe</w:t>
      </w:r>
    </w:p>
    <w:p>
      <w:r>
        <w:t>Ein künftiges empirisches Hauptgutachten sollte einen tatsächlich verantwortlichen Autor, Auftrag und Finanzierung, Fragestellung, Bezugszeitraum, Grundgesamtheit, Auswahlregel, Datenzugang, Kategorien, Validierung, Unsicherheitsanalyse, Gegenbefunde und reproduzierbare Auswertungsdateien nennen. Die Trennung von belegtem Befund und rechtlicher Wertung muss durchgehend sichtbar bleiben. Wer eine Hypothese verfolgt, muss beschreiben, durch welche Beobachtung sie widerlegt oder erheblich eingeschränkt würde.</w:t>
      </w:r>
    </w:p>
    <w:p>
      <w:r>
        <w:t>Die gemeinsame Infrastruktur mehrerer Verfahren kann den Aufwand vermindern: Ein gesicherter Korpus und eine geprüfte Methode können für überlappende Zeitfenster wiederverwendet werden. Die Fallzuordnung, die jeweiligen Anträge und die rechtliche Schlussfolgerung bleiben dennoch individuell. Tausend gleichartige Klagen ersetzen keine unabhängigen Beobachtungen. Ebenso wenig vervielfältigt die Einreichung desselben Gutachtens dessen empirische Evidenz.</w:t>
      </w:r>
    </w:p>
    <w:p>
      <w:r>
        <w:t>Die interne Freigabe unterscheidet materielle Programmrüge und Zugangskonflikt. Bei einer bewusst geplanten materiellen Pilotklage sollte ein fachlich geprüftes, zeitlich passendes Startpaket vorliegen. Bei einer Zugangsklage oder dem gesonderten Feststellungsansatz ist zunächst deren eigener Streitgegenstand mit den hierfür erforderlichen Tatsachen zu begründen. Das kann nicht unterschiedslos von einem bereits fertigen Gesamtprogrammgutachten abhängig gemacht werden. Gesetzliche Fristen laufen unabhängig von internen Projektfreigaben.</w:t>
      </w:r>
    </w:p>
    <w:p>
      <w:pPr>
        <w:pStyle w:val="Heading1"/>
      </w:pPr>
      <w:r>
        <w:t>16. Ergebnis</w:t>
      </w:r>
    </w:p>
    <w:p>
      <w:r>
        <w:t>Die neue Datenlage rechtfertigt eine inhaltliche Erweiterung der Unterlagen. Sie rechtfertigt keine pauschale Erfolgsaussage. Der tragfähige Aufbau verbindet eine konzentrierte Antragsebene mit ausführlichem Sachvortrag, vollständigen Originalgutachten, einem transparenten Methodenband und konkreten, begrenzten Aufklärungsbegehren. Die bisherige erkenntnistheoretische Herleitung bleibt erhalten, wird aber an tatsächlichen Datenbeständen und an der Zulässigkeit des jeweiligen Verfahrens gemessen.</w:t>
      </w:r>
    </w:p>
    <w:p>
      <w:r>
        <w:t>Eine gerichtliche Prüfung kann auf unzureichenden Vortrag, unzureichende rechtliche Anknüpfung oder auf eine nach Sachprüfung abgelehnte These hinauslaufen. Keine dieser Möglichkeiten darf durch die Wortwahl verborgen werden. Ebenso wenig darf die noch offene Endbeweisfrage als Grund dienen, bereits konkrete, erhebliche und methodisch nachvollziehbare Anhaltspunkte ohne Einzelfallwürdigung beiseitezuschieben. Genau diese Abgrenzung müssen die nun erweiterten Schriftsätze leisten.</w:t>
      </w:r>
    </w:p>
    <w:sectPr w:rsidR="00FC693F" w:rsidRPr="0006063C" w:rsidSect="00034616">
      <w:headerReference w:type="default" r:id="rId9"/>
      <w:footerReference w:type="default" r:id="rId10"/>
      <w:pgSz w:w="11906" w:h="16838"/>
      <w:pgMar w:top="1191" w:right="1304" w:bottom="1134" w:left="130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Liberation Sans" w:hAnsi="Liberation Sans"/>
        <w:sz w:val="16"/>
      </w:rPr>
      <w:t xml:space="preserve">G02 | 3.0 | 03.10.2026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rFonts w:ascii="Liberation Sans" w:hAnsi="Liberation Sans"/>
        <w:color w:val="5B6572"/>
        <w:sz w:val="16"/>
      </w:rPr>
      <w:t>BEITRAGSSTOPPER / PROJEKT 51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9" w:lineRule="auto"/>
    </w:pPr>
    <w:rPr>
      <w:rFonts w:ascii="Liberation Serif" w:hAnsi="Liberation Serif"/>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Liberation Sans" w:hAnsi="Liberation Sans"/>
      <w:b/>
      <w:bCs/>
      <w:color w:val="243647"/>
      <w:sz w:val="28"/>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Liberation Sans" w:hAnsi="Liberation Sans"/>
      <w:b/>
      <w:bCs/>
      <w:color w:val="243647"/>
      <w:sz w:val="2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Liberation Sans" w:hAnsi="Liberation Sans"/>
      <w:b/>
      <w:bCs/>
      <w:color w:val="24364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0"/>
      <w:contextualSpacing/>
    </w:pPr>
    <w:rPr>
      <w:rFonts w:asciiTheme="majorHAnsi" w:eastAsiaTheme="majorEastAsia" w:hAnsiTheme="majorHAnsi" w:cstheme="majorBidi" w:ascii="Liberation Sans" w:hAnsi="Liberation Sans"/>
      <w:b/>
      <w:color w:val="243647"/>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80"/>
    </w:pPr>
    <w:rPr>
      <w:rFonts w:asciiTheme="majorHAnsi" w:eastAsiaTheme="majorEastAsia" w:hAnsiTheme="majorHAnsi" w:cstheme="majorBidi" w:ascii="Liberation Sans" w:hAnsi="Liberation Sans"/>
      <w:i/>
      <w:iCs/>
      <w:color w:val="596572"/>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G02 | Beitragsstopper / Projekt 51</dc:title>
  <dc:subject>Modulare Arbeitsfassung; individuelle rechtliche und fachliche Freigabe erforderlich</dc:subject>
  <dc:creator>Freiheitskanzlei - Arbeitsunterlagen</dc:creator>
  <cp:keywords/>
  <dc:description>generated by python-docx</dc:description>
  <cp:lastModifiedBy/>
  <cp:revision>1</cp:revision>
  <dcterms:created xsi:type="dcterms:W3CDTF">2013-12-23T23:15:00Z</dcterms:created>
  <dcterms:modified xsi:type="dcterms:W3CDTF">2013-12-23T23:15:00Z</dcterms:modified>
  <cp:category/>
</cp:coreProperties>
</file>