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G01  |  Redaktionsfassung; keine abgeschlossene Programmvollanalyse</w:t>
      </w:r>
    </w:p>
    <w:p>
      <w:pPr>
        <w:pStyle w:val="Title"/>
      </w:pPr>
      <w:r>
        <w:t>Programmvielfalt, Tatsachenzugang und gerichtliche Kontrolle</w:t>
      </w:r>
    </w:p>
    <w:p>
      <w:pPr>
        <w:pStyle w:val="Subtitle"/>
      </w:pPr>
      <w:r>
        <w:t>Zusammengeführte privatgutachterliche Stellungnahme | Rechtlicher und methodischer Teil</w:t>
      </w:r>
    </w:p>
    <w:p>
      <w:r/>
      <w:r>
        <w:rPr>
          <w:b/>
        </w:rPr>
        <w:t>Gegenstand:</w:t>
      </w:r>
      <w:r>
        <w:t xml:space="preserve"> Die verfassungsrechtliche Relevanz struktureller Programmdefizite, die Grenzen des bisher vorgelegten Materials und die Voraussetzungen einer nachprüfbaren, verhältnismäßigen Sachaufklärung im Rundfunkbeitragsverfahren.</w:t>
      </w:r>
    </w:p>
    <w:p>
      <w:r/>
      <w:r>
        <w:rPr>
          <w:b/>
        </w:rPr>
        <w:t>Verantwortlich übernommen durch:</w:t>
      </w:r>
      <w:r>
        <w:t xml:space="preserve"> {Name, fachliche Qualifikation, Funktion, Kontakt}. </w:t>
      </w:r>
      <w:r>
        <w:rPr>
          <w:b/>
        </w:rPr>
        <w:t>Datum der fachlichen Freigabe:</w:t>
      </w:r>
      <w:r>
        <w:t xml:space="preserve"> {Datum}. Diese Fassung wurde im Auftrag der Freiheitskanzlei unterstützend mit KI redaktionell und analytisch erarbeitet. Eine Unterschrift des bisherigen Herausgebers oder eines externen Sachverständigen wird damit nicht vorweggenommen. Die einreichende Partei muss sich die tatsächlich verwendeten Aussagen zu eigen machen.</w:t>
      </w:r>
    </w:p>
    <w:p>
      <w:r/>
      <w:r>
        <w:rPr>
          <w:b/>
        </w:rPr>
        <w:t>Erkenntnisstatus:</w:t>
      </w:r>
      <w:r>
        <w:t xml:space="preserve"> Dieses Dokument enthält eine Quellenkritik, rechtliche Argumentation und einen Untersuchungsplan. Es behauptet weder eine neu durchgeführte Zwei-Jahres-Analyse des Gesamtprogramms noch den abschließenden Nachweis einer verfassungswidrigen Beitragspflicht. Die rechtliche Bewertung bleibt dem Gericht vorbehalten. Vollstreckungs- und Automatisierungsfragen sind nicht Gegenstand dieses Gutachtens.</w:t>
      </w:r>
    </w:p>
    <w:p>
      <w:pPr>
        <w:spacing w:after="110"/>
      </w:pPr>
      <w:r>
        <w:rPr>
          <w:i/>
        </w:rPr>
        <w:t>Leitband der mehrteiligen gutachterlichen Arbeitsfassung. Dieser Band ersetzt weder die vier Originalgutachten U01-U04 noch deren vollständige Herleitungen. Version 3 wird ergänzt durch G02 (Vertiefungsband) und G03 (konkrete Einführung der Originalanlagen). Die Originalfassungen bleiben ungekürzt und mit eigener Urheberschaft erhalten. Keine neu durchgeführte empirische Gesamtprogrammanalyse.</w:t>
      </w:r>
    </w:p>
    <w:p>
      <w:pPr>
        <w:pStyle w:val="Heading1"/>
      </w:pPr>
      <w:r>
        <w:t>G.1 Auftrag, Material und drei getrennte Erkenntnisfragen</w:t>
      </w:r>
    </w:p>
    <w:p>
      <w:r>
        <w:t>Die bereitgestellten Unterlagen verfolgen ein gemeinsames Anliegen: Ein Beitragspflichtiger soll einen rechtlich grundsätzlich zugelassenen Einwand gegen die Vorteilhaftigkeit des finanzierten Programmangebots auch praktisch untersuchen und gerichtlich geltend machen können. Das V-Gutachten, die Untersuchung der Programmbeschwerden, das Kurzgutachten und die wissenschaftliche Grundlagenuntersuchung liefern hierfür unterschiedliche Bausteine. Sie untersuchen aber nicht viermal unabhängig dieselbe Programmwirklichkeit. Die Zusammenführung muss diese unterschiedlichen Erkenntnisleistungen erhalten, statt durch bloße Addition des Seitenumfangs eine höhere Beweiskraft zu suggerieren. [U01-U04]</w:t>
      </w:r>
    </w:p>
    <w:p>
      <w:r>
        <w:t>Zu unterscheiden sind erstens der materielle Befund: Welche Themen und Sichtweisen werden im beitragsfinanzierten Gesamtangebot tatsächlich wie vermittelt? Zweitens der institutionelle Befund: Welche Beschwerde-, Qualitätssicherungs- und Korrekturverfahren bestehen und wirken? Drittens der verfahrensbezogene Befund: Welche erforderlichen Erkenntnisse sind für die konkrete Partei mit zumutbarem Aufwand zugänglich, welche nicht, und welche gerichtlichen Instrumente kommen hierfür in Betracht? Eine Feststellung auf einer dieser Ebenen ersetzt die anderen beiden nicht.</w:t>
      </w:r>
    </w:p>
    <w:p>
      <w:r>
        <w:t>Der Prüfauftrag lautet deshalb nicht: Lässt sich aus vielen Beschwerden, internen Archiven und verlorenen Klagen bereits ein rechtswidriges Gesamtprogramm ableiten? Er lautet: Welche belastbaren Schlüsse erlauben die vorhandenen Materialien, welche entscheidungserheblichen Lücken bleiben und wie lassen sie sich ohne unzulässige Vorverlagerung der vollständigen Beweisführung konkret schließen? Die Differenz zwischen einer begründeten Untersuchungsfrage und ihrem noch offenen Ergebnis ist durchgehend zu beachten.</w:t>
      </w:r>
    </w:p>
    <w:p>
      <w:pPr>
        <w:pStyle w:val="Heading1"/>
      </w:pPr>
      <w:r>
        <w:t>G.2 Die rechtliche Ausgangslage nach BVerwG 6 C 5.24</w:t>
      </w:r>
    </w:p>
    <w:p>
      <w:r>
        <w:t>Das Bundesverwaltungsgericht hat am 15. Oktober 2025 eine eng begrenzte verfassungsrechtliche Kontrollmöglichkeit anerkannt. Der Zusammenhang zwischen Beitrag und Programmvorteil ist danach nicht als privatrechtlicher Leistungsaustausch ausgestaltet. Ein Beitragspflichtiger kann deshalb nicht allein wegen einzelner beanstandeter Inhalte seine Zahlung wie bei einer mangelhaften Vertragsleistung zurückhalten. Die einfachgesetzliche Beitragspflicht entfällt auch nicht schon wegen eines Verstoßes gegen eine einzelne programmrechtliche Vorschrift. Der entscheidende Ansatz liegt vielmehr in der verfassungsrechtlichen Rechtfertigung der Vorzugslast. [R01, Rn. 21-39]</w:t>
      </w:r>
    </w:p>
    <w:p>
      <w:r>
        <w:t>Die maßgebliche Schwelle ist ein grobes Missverhältnis zwischen Beitragsbelastung und Vorteilhaftigkeit des öffentlich-rechtlichen Gesamtprogrammangebots. Der vom Gericht bezeichnete Gegenstand umfasst die beitragsfinanzierten öffentlich-rechtlichen Veranstalter in Hörfunk, Fernsehen und Telemedien. Erforderlich sind evidente und regelmäßige Defizite über einen angemessen langen Zeitraum; vereinzelte Fehler, Missfallen an politischen Positionen oder die Tendenz eines einzelnen Formats genügen nicht. Die Möglichkeit eines Ausgleichs durch andere öffentlich-rechtliche Angebote ist ausdrücklich zu berücksichtigen. [R01, Rn. 39-44]</w:t>
      </w:r>
    </w:p>
    <w:p>
      <w:r>
        <w:t>Daraus folgt eine doppelte Begrenzung: Das Gericht darf sich einer substantiierten Evidenzrüge nicht unter Verweis allein auf Rundfunkräte entziehen. Umgekehrt darf die klagende Partei nicht jede Verletzung eines Programmgrundsatzes unmittelbar mit der Verfassungswidrigkeit des Rundfunkbeitrags gleichsetzen. Die Breite des Untersuchungsgegenstands und die hohe materielle Eingriffsschwelle sind eigenständige Anforderungen. Sie werden nicht durch eine besonders starke Kritik an einem Einzelbeitrag ersetzt. [R01, Rn. 38, 40, 43, 47]</w:t>
      </w:r>
    </w:p>
    <w:p>
      <w:pPr>
        <w:pStyle w:val="Heading1"/>
      </w:pPr>
      <w:r>
        <w:t>G.3 Zeitraum, Normfassung und verfassungsgerichtliche Folge</w:t>
      </w:r>
    </w:p>
    <w:p>
      <w:r>
        <w:t>Der untersuchte Zeitraum muss zum angefochtenen Beitrag passen. Das Bundesverwaltungsgericht erachtet eine Zeitspanne von nicht unter zwei Jahren für sachgerecht, die mit dem im angefochtenen Bescheid abgerechneten Zeitraum endet. Das ist nicht notwendig die Zeitspanne vor dem Ausstellungsdatum des Festsetzungsbescheids und erst recht nicht vor dem späteren Widerspruchsbescheid. Bei mehreren Bescheiden oder getrennten Abrechnungsperioden sind die Untersuchungsfenster einzeln herzuleiten. Ein gemeinsamer Datensatz kann mehrere Fenster abdecken; die Fallzuordnung muss dennoch nachvollziehbar bleiben. [R01, Rn. 41]</w:t>
      </w:r>
    </w:p>
    <w:p>
      <w:r>
        <w:t>Beispiel der zeitlichen Zuordnung, nicht eines realen Mandats: Wird ein Zeitraum bis zum 31. Dezember 2024 abgerechnet, ist als mindestens zweijähriges Untersuchungsfenster grundsätzlich der 1. Januar 2023 bis 31. Dezember 2024 anzusetzen. Dass der Bescheid erst im September 2025 erlassen wurde, verschiebt dieses Ende nicht in den September 2025. Bei einem erheblich längeren streitigen Beitragszeitraum bedarf es zusätzlicher zeitlicher Abdeckung; eine Schlussperiode darf nicht ohne Begründung die ganze Vergangenheit repräsentieren.</w:t>
      </w:r>
    </w:p>
    <w:p>
      <w:r>
        <w:t>Nach der Entscheidung bleiben vor dem verfassungsgerichtlichen Urteil vom 18. Juli 2018 liegende Zeiträume für die dort eröffnete Rüge außer Betracht. Eine Untersuchung des damaligen Angebots kann dagegen als Vergleichsgrundlage Bedeutung haben. Vergleich und streitiger Zeitraum sind deshalb auseinanderzuhalten. Ebenso muss die jeweilige Fassung des Rundfunkstaatsvertrags beziehungsweise Medienstaatsvertrags benannt werden. Die reformierte Fassung des MStV ab Dezember 2025 darf nicht ungekennzeichnet als unmittelbar geltender Prüftext eines Beitragszeitraums 2020 verwendet werden. [R01, Rn. 41, 46; R08]</w:t>
      </w:r>
    </w:p>
    <w:p>
      <w:r>
        <w:t>Gelänge dem Gericht die Überzeugung von der entscheidungserheblichen Verfassungswidrigkeit der gesetzlichen Beitragspflicht, ist die konkrete Normenkontrolle nach Art. 100 Abs. 1 GG zu beachten. Das Gericht darf eine nachkonstitutionelle gesetzliche Regelung nicht allein wegen eigener Verfassungsbedenken unangewendet lassen. Eine Vorlage ist deshalb nicht ein weiterer selbständiger Leistungsanspruch des Klägers, sondern eine prozessuale Folge einer vom Gericht selbst zu gewinnenden Überzeugung. [R01; R22]</w:t>
      </w:r>
    </w:p>
    <w:p>
      <w:pPr>
        <w:pStyle w:val="Heading1"/>
      </w:pPr>
      <w:r>
        <w:t>G.4 Die Mannheimer Entscheidung: Hilfe und Gegenargument zugleich</w:t>
      </w:r>
    </w:p>
    <w:p>
      <w:r>
        <w:t>Das Urteil des VGH Baden-Württemberg im Verfahren 2 S 2529/25 ist für die strategische Bewertung besonders wichtig. In den schriftlichen Gründen kritisiert der Senat die Erwartung, ein einzelner Beitragspflichtiger müsse ein aufwendiges wissenschaftliches Parteigutachten über das gesamte Angebot beschaffen. Auf den Seiten 30 bis 32 werden die praktische Wirksamkeit des Rechtsschutzes und die wirtschaftliche Leistungsfähigkeit des Einzelnen ausdrücklich angesprochen. Diese Passage unterstützt die Frage nach einer verhältnismäßigen Verteilung der Erkenntnislasten. Die im Urteil wiedergegebene Kostenbehauptung eines Beteiligten von 90 Millionen Euro wird dort jedoch gerade nicht als valide Kalkulation festgestellt. Sie ist nicht als gesicherter Projektpreis zu verwenden. [R02, S. 30-32]</w:t>
      </w:r>
    </w:p>
    <w:p>
      <w:r>
        <w:t>Gleichzeitig wurde die Berufung des Beitragspflichtigen zurückgewiesen. Die Entscheidung vertritt auf den Seiten 14 bis 28 eine für die Programmrüge nachteilige materiell-rechtliche Linie, unter anderem zur Verbindung gegenständlicher und meinungsmäßiger Vielfalt sowie zur institutionellen Sicherung des Rundfunkauftrags. Die Kritik an einer Gutachtenhürde hat hier also nicht zum Wegfall der Beitragspflicht geführt. Die Entscheidung ist weder ein allgemeiner Sieg der Beitragsverweigerung noch ein festgestellter individueller Datenzugangsanspruch. [R02, Tenor und S. 14-32]</w:t>
      </w:r>
    </w:p>
    <w:p>
      <w:r>
        <w:t>Für die eigene Argumentation ergibt sich daraus eine differenzierte Position. An der verfassungsrechtlichen Evidenzkontrolle des Bundesverwaltungsgerichts ist festzuhalten; zugleich kann die Mannheimer Kritik gegen eine unverhältnismäßige Vorleistungspflicht eingesetzt werden. Soweit die institutionellen Kontrollstrukturen als Grund für eine weitgehende Zurücknahme gerichtlicher Kontrolle verstanden werden, muss die Spannung zu Rn. 38 und 47 des Bundesverwaltungsgerichts offen erörtert werden. Die wissenschaftliche Untersuchung darf diesen Rechtsstreit nicht durch ein vorgegebenes Ergebnis entscheiden.</w:t>
      </w:r>
    </w:p>
    <w:p>
      <w:r>
        <w:t>Auch die Verbindung von Themenbreite und Meinungsvielfalt bedarf einer eigenständigen Begründung. Für die Klägerseite lässt sich vertreten, dass das bloße Vorhandensein von Kultur, Sport oder Unterhaltung eine anderweitig nachgewiesene strukturelle politische Instrumentalisierung nicht automatisch neutralisiert. Dies ist ein rechtliches Gegenargument, keine bereits gewonnene höchstrichterliche Entscheidung gegen den VGH. Empirisch muss dennoch nach Ausgleichsangeboten und nach Befunden gesucht werden, die der eigenen Hypothese widersprechen.</w:t>
      </w:r>
    </w:p>
    <w:p>
      <w:pPr>
        <w:pStyle w:val="Heading1"/>
      </w:pPr>
      <w:r>
        <w:t>G.5 Warum ein allgemeiner Auskunftsanspruch bisher nicht belegt ist</w:t>
      </w:r>
    </w:p>
    <w:p>
      <w:r>
        <w:t>Mehrere bisherige Schreiben leiten aus Rn. 48 und 50 des Urteils 6 C 5.24 unmittelbar eine Auskunfts- und Datensicherungspflicht der Rundfunkanstalten ab. Diese Darstellung ist zu weitgehend. Die genannten Passagen behandeln die Substantiierung der Programmrüge und die Bewertung des damaligen Vorbringens. Sie sprechen keinen umfassenden vorprozessualen Anspruch auf Programme, Metadaten, interne Kontrollen oder Redaktionsunterlagen zu. Rn. 33 unterscheidet zudem ausdrücklich den Zugang zu allgemein zugänglichen Informationsquellen von einem Anspruch auf Eröffnung einer bislang nicht allgemein zugänglichen Quelle. [U09, U13; R01, Rn. 33, 48, 50]</w:t>
      </w:r>
    </w:p>
    <w:p>
      <w:r>
        <w:t>Die Feststellung dieser Begrenzung beantwortet noch nicht, ob ein engerer Anspruch aus anderen Vorschriften besteht. Zu prüfen sind erstens anstalts- und landesrechtliche Informationszugangsregeln, zweitens die tatsächlich praktizierten Regeln wissenschaftlichen Archivzugangs, drittens fallbezogene Gleichbehandlungsfragen bei einer eröffneten Nutzungspraxis und viertens gerichtliche Aufklärungs- und Vorlageinstrumente in einem anhängigen Verfahren. Diese Wege haben unterschiedliche Voraussetzungen und sind nicht austauschbar.</w:t>
      </w:r>
    </w:p>
    <w:p>
      <w:r>
        <w:t>Für den WDR enthält § 55a WDR-Gesetz eine ausdrückliche Regelung zum Informationsfreiheitsgesetz NRW mit wichtigen Ausnahmen, insbesondere für journalistisch-redaktionelle Informationen. Daraus folgt gerade nicht, dass jedes Programmdatum stets ausgeschlossen oder stets zugänglich ist; die begehrte Informationsart muss eingeordnet werden. Die Sonderstellung von Rundfunkanstalten im rheinland-pfälzischen Transparenzrecht zeigt zugleich, warum dieselbe Rechtsgrundlage nicht einfach auf das ZDF übertragen werden kann. Eine bundesweite Serienklage braucht deshalb vorab ein nach Rechtsträger und Datenart getrenntes Anspruchsblatt. [R15; R16]</w:t>
      </w:r>
    </w:p>
    <w:p>
      <w:r>
        <w:t>Art. 19 Abs. 4 GG ist ein gewichtiger Maßstab für die Auslegung und Anwendung vorhandener Verfahrensrechte. Die Vorschrift allein belegt aber noch kein uneingeschränktes vorprozessuales Entdeckungsverfahren gegen jeden Dateninhaber. Ein aus dem bestehenden Beitragsverhältnis abgeleiteter enger Mitwirkungsanspruch ist als zu begründende Rechtsposition zu kennzeichnen. Ihn als bereits geklärte Pflicht auszugeben, würde die entscheidende Streitfrage verdecken. [R01, Rn. 33; R22]</w:t>
      </w:r>
    </w:p>
    <w:p>
      <w:pPr>
        <w:pStyle w:val="Heading1"/>
      </w:pPr>
      <w:r>
        <w:t>G.6 Amtsermittlung, Mitwirkung und sekundäre Darlegung</w:t>
      </w:r>
    </w:p>
    <w:p>
      <w:r>
        <w:t>§ 86 Abs. 1 VwGO weist dem Gericht die Erforschung des Sachverhalts von Amts wegen zu und sieht die Heranziehung der Beteiligten vor. Daraus entsteht weder ein Anspruch auf jede denkbare Untersuchung noch die Befugnis, ohne greifbare Tatsachen ein beliebiges institutionelles Gesamtverhalten ausforschen zu lassen. Die Aufklärung richtet sich auf entscheidungserhebliche Tatsachen. Gerade deshalb müssen die vorhandenen Anknüpfungstatsachen, die Erkenntnislücke und die Eignung des vorgeschlagenen Beweismittels miteinander verbunden werden. [R03, § 86; R01, Rn. 47-50]</w:t>
      </w:r>
    </w:p>
    <w:p>
      <w:r>
        <w:t>Die in den Vorarbeiten behandelte sekundäre Darlegungslast beschreibt eine Informationsasymmetrie und mögliche Anforderungen an die nähere Erklärung der sachnäheren Partei. Sie ist nicht mit einer Umkehr der materiellen Beweislast gleichzusetzen. Im Verwaltungsprozess darf außerdem nicht unbesehen die zivilprozessuale Geständnisfiktion des § 138 Abs. 3 ZPO an die Stelle der gerichtlichen Tatsachenermittlung gesetzt werden. Die neue Fassung beantragt daher konkrete Mitwirkung und Vorlage, nicht die automatische Fiktion einer verfassungswidrigen Programmgestaltung wegen Schweigens. [U01, Kap. 13; U03, Abschnitt E; U06, Teil 7; R03, §§ 86, 108]</w:t>
      </w:r>
    </w:p>
    <w:p>
      <w:r>
        <w:t>Praktisch sollte zunächst gefragt werden, welche Daten die Beklagte selbst besitzt, welche sie mit vertretbarem Aufwand identifizieren kann und welche bei rechtlich selbständigen anderen Veranstaltern liegen. Eine Landesrundfunkanstalt ist nicht schon aufgrund ihrer Mitgliedschaft in der ARD im Besitz aller Daten aller Anstalten. Die besondere Sachnähe rechtfertigt eine präzise Frage nach eigenen Beständen; sie ersetzt nicht den Nachweis tatsächlicher Verfügungsmacht. Die amtliche Beschreibung der dezentralen Archive spricht gegen eine undifferenzierte Gesamtdatenanforderung an nur einen Schuldner. [R13]</w:t>
      </w:r>
    </w:p>
    <w:p>
      <w:r>
        <w:t>Die besondere Bedeutung des Zugangsproblems liegt nicht in einem Schlagwort wie Beweislastumkehr. Sie liegt in einer gestuften, verhältnismäßigen Verfahrensgestaltung: vorhandene Indizien offenlegen, ihre Grenzen benennen, die fehlende konkrete Information definieren, die gegnerische oder gerichtliche Beschaffbarkeit prüfen und danach über einen begrenzten Ermittlungsauftrag entscheiden. Eine negative Antwort ist in dieser Kette ein Befund über Zugang und Mitwirkung, nicht unmittelbar über die inhaltliche Qualität des Gesamtprogramms.</w:t>
      </w:r>
    </w:p>
    <w:p>
      <w:pPr>
        <w:pStyle w:val="Heading1"/>
      </w:pPr>
      <w:r>
        <w:t>G.7 Die BGH-Entscheidung VI ZR 335/24 richtig verwenden</w:t>
      </w:r>
    </w:p>
    <w:p>
      <w:r>
        <w:t>Das Kurzgutachten vom 16. Juli 2026 stellt das Urteil des Bundesgerichtshofs vom 9. März 2026 als allgemeine Bestätigung eines weitreichenden Informationszugangs bei institutioneller Wissensüberlegenheit dar. Die geprüfte amtliche Pressemitteilung betrifft jedoch Auskunfts- und Haftungsansprüche wegen behaupteter Impfschäden, insbesondere auf der Grundlage des ausdrücklichen arzneimittelrechtlichen Auskunftsanspruchs nach § 84a AMG. Dieses gesetzliche Instrument ist nicht mit dem Rundfunkbeitragsrecht identisch. [U03, Abschnitt E.III; R09]</w:t>
      </w:r>
    </w:p>
    <w:p>
      <w:r>
        <w:t>Der rechtsvergleichende Gedanke, dass der Gesetzgeber besondere Informationsasymmetrien durch einen vorgelagerten Auskunftsanspruch auflösen kann, bleibt sinnvoll. Eine Analogie benötigte aber eine planwidrige Regelungslücke und eine vergleichbare Interessenlage; beides ist für die pauschale Übertragung auf Programmarchive nicht durch den bloßen Verweis auf dieses Aktenzeichen belegt. Die vorliegende Stellungnahme verwendet das Urteil deshalb nicht als tragende Anspruchsgrundlage für ein rundfunkrechtliches Auskunftsbegehren. Es wäre ebenso unrichtig, aus einer Pressemitteilung die Prüfung sämtlicher Entscheidungsgründe vorzutäuschen.</w:t>
      </w:r>
    </w:p>
    <w:p>
      <w:pPr>
        <w:pStyle w:val="Heading1"/>
      </w:pPr>
      <w:r>
        <w:t>G.8 Die bisherigen Gutachten: gemeinsame Architektur statt Doppelbeweis</w:t>
      </w:r>
    </w:p>
    <w:p>
      <w:r>
        <w:t>Das V-Gutachten Version 1.3 beschreibt einen strukturellen digitalen Beweisnotstand, die Grenzen öffentlicher Mediatheken und die Möglichkeiten datenbasierter Untersuchung. Bereits sein eigener Verwendungshinweis stellt klar, dass es kein gerichtliches Sachverständigengutachten ersetzt. Seine Hauptleistung liegt in der Strukturierung des Zugangs- und Methodenproblems. Zu übernehmen sind die klare Trennung von Voruntersuchung und Hauptgutachten sowie der Gedanke, dass Nachprüfbarkeit technisch konkret beschrieben werden muss. Nicht unverändert zu übernehmen sind absolute Aussagen, ohne interne Rohdaten sei jede belastbare Gesamtbeurteilung unmöglich, oder jede genannte Gerichtsakte beweise bereits eine bundesweite Rechtsschutzverweigerung. [U01, S. 2, 9-12 und Kap. 24]</w:t>
      </w:r>
    </w:p>
    <w:p>
      <w:r>
        <w:t>Das Programmbeschwerdegutachten untersucht die Nutzung eines bestimmten Beschwerdekanals. Sein Wert liegt in einer dokumentierbaren institutionellen Beobachtungsbasis. Es erklärt selbst, nicht die materielle Begründetheit aller Beschwerden oder die Verfassungswidrigkeit des Gesamtprogramms zu beweisen. Es ist deshalb als gesondertes empirisches Teilmodul zu erhalten; es darf nicht in eine zusammenfassende Aussage über das gesamte Rundfunkangebot umgedeutet werden. [U02, S. 1-5]</w:t>
      </w:r>
    </w:p>
    <w:p>
      <w:r>
        <w:t>Die Grundlagenuntersuchung entwickelt die Begriffe institutioneller Lebenssachverhalt, Erkenntnisfähigkeit, digitale Erkenntnisordnung und funktionale Kohärenz. Sie betont an mehreren Stellen selbst, damit keine eigenständigen neuen Rechte oder Beweislastregeln zu schaffen. In einer gerichtlichen Fassung kann diese Begriffsarbeit erheblich verkürzt werden: Das Recht bestimmt den relevanten Sachverhalt; die Methode muss geeignete Aussagen über diesen Sachverhalt erlauben; Daten und Auswertung müssen nachvollziehbar sein; die rechtliche Würdigung verbleibt beim Gericht. Die allgemeine Geschichte des digitalen Rechtsstaats muss nicht in jedem Individualprozess erneut auf Hunderten Seiten vorangestellt werden. [U04, insbesondere Schlusskapitel]</w:t>
      </w:r>
    </w:p>
    <w:p>
      <w:r>
        <w:t>Das Kurzgutachten kann als Übersetzung dieser Architektur in einen konkreten Fall dienen. Seine fallbezogenen Aussagen zur Erwiderung des Hessischen Rundfunks sind jedoch nur dort zu verwenden, wo die konkrete Erwiderung vorliegt und richtig wiedergegeben wird. Die bloße Existenz des Gutachtens beweist nicht, dass dieselben Einwände in jedem anderen Gerichtsverfahren erhoben wurden. Die neue modulare Struktur trennt deshalb allgemeine Stellungnahme, individuelles Tatsachenblatt und konkreten gerichtlichen Antrag. [U03]</w:t>
      </w:r>
    </w:p>
    <w:p>
      <w:pPr>
        <w:pStyle w:val="Heading1"/>
      </w:pPr>
      <w:r>
        <w:t>G.9 Rundfunkalarm: Was der Zahlenbestand tragen kann</w:t>
      </w:r>
    </w:p>
    <w:p>
      <w:r>
        <w:t>Das bereitgestellte Gutachten berichtet für den CSV-Auswertungszeitraum vom 13. Juni 2024 bis 19. Juni 2026 von 4.086 ursprünglichen Beschwerdevorgängen, 118.627 Teilungen und 3.329 Rundfunkratsinformationen. Bei 474 Ursprungsvorgängen soll mindestens eine Information an den Rundfunkrat dokumentiert sein. Daneben enthält die beschriebene öffentliche Statistik andere Aggregate, insbesondere 83.096 Gesamtmeldungen, 118.628 Teilungen und 3.452 Rundfunkratsbeschwerden. Die Größen bezeichnen nicht ohne Weiteres dieselbe Einheit und denselben Datenstand. [U02, S. 3 und Abschnitt E]</w:t>
      </w:r>
    </w:p>
    <w:p>
      <w:r>
        <w:t>Im hier bereitgestellten Material befindet sich die beschriebene CSV-Datei nicht als auswertbarer Originaldatensatz. Die Zahlen werden daher als Befunde des vorgelegten Gutachtens referiert, nicht als in dieser Bearbeitung neu berechnete Ergebnisse. Auch der dort genannte Hashwert ist nur eine Quellenangabe, solange die entsprechende Datei nicht vorliegt und ihr Hash technisch verglichen wurde. Dies gilt ebenso für die dort erwähnten Bildschirmabbildungen und für eine vollständige Sammlung der Antworten der Anstalten.</w:t>
      </w:r>
    </w:p>
    <w:p>
      <w:r>
        <w:t>Die wichtige methodische Trennung lautet: Eine Teilung ist kein neuer unabhängiger beanstandeter Sendungsfall. Eine Gremieninformation ist nicht notwendig eine zulässige und abschließend entschiedene förmliche Programmbeschwerde. Ein Ursprungsvorgang kann dieselbe Sendung betreffen wie ein anderer Vorgang. Mehrere Personen können denselben Text versandt haben. Vor einer Wirksamkeitsquote sind daher Ausgangsvorgänge, einzigartige Inhalte, tatsächlicher Versand, Zugang, zulässige Beschwerden, Entscheidungen und Ergebnisse getrennt zu erfassen.</w:t>
      </w:r>
    </w:p>
    <w:p>
      <w:r>
        <w:t>Die Formulierung, im vorliegenden Material sei keine nach außen dokumentierte Korrektur erkennbar, ist eine Aussage über den Beobachtungsbestand. Sie ist nicht gleichbedeutend mit der Aussage, es habe keine Prüfung und keine Korrektur gegeben. Fehlt eine systematische Antworterhebung, ist der Ergebnisstatus zunächst teilweise unbekannt. Auch eine begründete Zurückweisung einer unberechtigten Beschwerde kann Ausdruck funktionierender Kontrolle sein. Eine Erfolgsquote von null Prozent darf deshalb weder aus Schweigen in der Plattform noch aus einer unbekannten Anzahl abgeschlossener Entscheidungen errechnet werden. [U02, Verwendungshinweis und Grenzen]</w:t>
      </w:r>
    </w:p>
    <w:p>
      <w:r>
        <w:t>Der geeignete nächste Schritt ist eine nach Anstalt, Format, Kalenderzeit, Beschwerdetyp und Eskalationsstufe geschichtete Prüfung von Originalvorgängen. Für jeden Vorgang werden Sendebeleg, konkreter Beschwerdegrund, Versand, Empfang, Antwort, Gremienentscheidung, etwaige Korrektur und beobachtbarer Folgeprozess dokumentiert. Offene, unzulässige und erledigte Vorgänge bleiben getrennte Kategorien. Die Untersuchung soll auch Abhilfeentscheidungen und sachlich zutreffende Zurückweisungen erfassen. Erst dann lässt sich belastbar bewerten, ob und in welcher Hinsicht der Kontrollweg praktische Defizite zeigt.</w:t>
      </w:r>
    </w:p>
    <w:p>
      <w:pPr>
        <w:pStyle w:val="Heading1"/>
      </w:pPr>
      <w:r>
        <w:t>G.10 Die Stellungnahme von Prof. Dr. Werner Müller</w:t>
      </w:r>
    </w:p>
    <w:p>
      <w:r>
        <w:t>Die Stellungnahme vom 3. März 2026 untersucht insbesondere die 20-Uhr-Tagesschau vom 1. Januar bis 31. August 2020 und die Darstellung kritischer fachlicher Einschätzungen zur Corona-Politik. Sie enthält eine umfangreiche Dokumentation von Sendungsthemen. Damit kann sie als zeitlich, thematisch und nach Format begrenzte Vorarbeit dienen. Sie ist keine Studie über mindestens zwei Jahre des gesamten beitragsfinanzierten Angebots von Fernsehen, Hörfunk und Telemedien. Ein neueres Erstellungsdatum des Gutachtens verlängert den untersuchten historischen Zeitraum nicht. [U08, S. III und Methode]</w:t>
      </w:r>
    </w:p>
    <w:p>
      <w:r>
        <w:t>Eine interne Zahlenfrage muss vor der Übernahme von Prozentwerten geklärt werden. Die Zusammenfassung nennt einen Corona-Anteil von 34 Prozent. Im Methodenteil stehen 772 Corona-Beiträge bei insgesamt 2.144 Beiträgen. Bei unmittelbarer Division ergeben diese beiden Zahlen rund 36,0 Prozent. Die Kategorien summieren sich zu 2.144, die Corona-Untergruppen zu 772. Es kann einen abweichenden Nenner oder einen anderen Berechnungsansatz geben; er wird durch diese Angaben aber nicht erläutert. Der Befund ist eine aufklärungsbedürftige Inkonsistenz, kein Anlass, die Originalfassung stillschweigend zu verändern. [U08, Zusammenfassung und S. 1; eigene Nachrechnung]</w:t>
      </w:r>
    </w:p>
    <w:p>
      <w:r>
        <w:t>Eine inhaltliche Medienanalyse muss zudem zwischen der Darstellung einer kontroversen Position, der Wahrheit ihrer Tatsachenprämissen und der journalistischen Pflicht zu ihrer Berücksichtigung unterscheiden. Aus der Existenz einer abweichenden medizinischen Aussage folgt weder ihre wissenschaftliche Richtigkeit noch ein Anspruch auf gleichgewichtige Sendezeit. Umgekehrt kann eine methodisch begründete Untersuchung zeigen, dass ein relevanter Standpunkt ohne sachlichen Grund systematisch unzugänglich gemacht wurde. Hierfür sind die damalige Quellenlage, die konkrete Relevanz und die tatsächliche Behandlung zu prüfen, nicht nur die spätere politische Bewertung.</w:t>
      </w:r>
    </w:p>
    <w:p>
      <w:r>
        <w:t>Die in der Stellungnahme ebenfalls enthaltenen medizinischen, biographischen und zeitgeschichtlichen Behauptungen werden mit dieser Zusammenführung nicht als verifiziert übernommen. Spätere Studien und Ereignisse, etwa aus 2021, sind von der Frage zu trennen, was im ersten Untersuchungszeitraum 2020 bereits bekannt und berichtsfähig war. Die Autorenschaft und Qualifikation sind transparent zu benennen; sie ersetzen keine fachliche Validierung des Kodierverfahrens. Für eine gerichtliche Verwendung empfiehlt sich eine ergänzende Methoden- und Korrekturerklärung des Verfassers sowie eine unabhängige Nachkodierung einer vorab festgelegten Auswahl.</w:t>
      </w:r>
    </w:p>
    <w:p>
      <w:pPr>
        <w:pStyle w:val="Heading1"/>
      </w:pPr>
      <w:r>
        <w:t>G.11 Von der Einzelfallkritik zur prüfbaren Gesamthypothese</w:t>
      </w:r>
    </w:p>
    <w:p>
      <w:r>
        <w:t>Die alten Anlagen betreffen Corona, Ukraine, UNO und WHO, Kinderprogramme, Politiknähe, Unparteilichkeit, Parteibeteiligung in Talkshows, Nord Stream, einzelne Satireformate und ein Mitarbeitermanifest. Diese Themen werden nicht verworfen. Ihre prozessuale Rolle wird präzisiert: Sie sind mögliche Ausgangspunkte für definierte Untersuchungsfragen. Ihre Addition erzeugt aber ohne Auswahlregel, Bezugsgröße und Vergleichsmaterial keine repräsentative Stichprobe. Ebenso wenig wird eine Mitarbeitermeinung durch die Zahl der Unterzeichnenden zu einer Inhaltsanalyse des gesamten Programms. [U06, Anlagen 1-10]</w:t>
      </w:r>
    </w:p>
    <w:p>
      <w:r>
        <w:t>Für jedes Themenmodul sind Zeitraum, konkreter Sendungsbestand, beanstandeter Mechanismus, Vergleichsbestand, Quellenqualität und Reichweite der behaupteten Schlussfolgerung festzulegen. Beispielsweise kann bei Talkshows die Auswahl und tatsächliche Beteiligung von Positionen untersucht werden. Eine Parteimitgliedschaft ist dabei nicht immer ein zutreffender Stellvertreter für die im Gespräch vertretene Position. Bei Nachrichten sind Sprecherrolle, direkte und indirekte Wiedergabe, Moderation und wertender Kommentar zu unterscheiden. Bei Satire muss die formatspezifische Darstellungsfreiheit in der rechtlichen Bewertung sichtbar bleiben.</w:t>
      </w:r>
    </w:p>
    <w:p>
      <w:r>
        <w:t>Die zentrale Gesamthypothese lautet in ihrer untersuchbaren Form: Im festgelegten Zeitraum bestehen über die gewählten Medien-, Themen-, Zeit- und Formatschichten hinweg wiederkehrende, in der Größe relevante Ausschluss-, Verzerrungs- oder Gewichtungsmuster, die nicht durch journalistisch erklärbare Auswahlentscheidungen oder andere beitragsfinanzierte Angebote ausgeglichen werden. Die Gegenhypothese lautet: Die beanstandeten Beobachtungen sind begrenzt, kontextbedingt, durch andere Angebote ausgeglichen oder bei unabhängiger Kodierung nicht bestätigt. Beide Hypothesen müssen am Material scheitern können.</w:t>
      </w:r>
    </w:p>
    <w:p>
      <w:pPr>
        <w:pStyle w:val="Heading1"/>
      </w:pPr>
      <w:r>
        <w:t>G.12 Erkenntnisfähigkeit und institutioneller Lebenssachverhalt</w:t>
      </w:r>
    </w:p>
    <w:p>
      <w:r>
        <w:t>Die Grundlagenuntersuchung weist zutreffend auf ein praktisches Problem hin: Der rechtlich relevante Zustand kann sich erst aus vielen Vorgängen über einen langen Zeitraum ergeben. Er ist dann nicht mit einem einzigen Zeugenbericht oder einer einzelnen Sendung identisch. Der Begriff institutioneller Lebenssachverhalt ist hier als Beschreibung nützlich. Er macht deutlich, warum eine systematische Datengrundlage erforderlich sein kann. Er ersetzt jedoch nicht die Festlegung des konkreten Streitgegenstands, der weiterhin durch das Klagebegehren und den zugehörigen Sachverhalt bestimmt wird. [U04; R03]</w:t>
      </w:r>
    </w:p>
    <w:p>
      <w:r>
        <w:t>Erkenntnisfähigkeit ist in dieser Fassung keine zusätzliche ungeschriebene Zulässigkeitsvoraussetzung und kein genereller Anspruch auf Datenbeschaffung. Sie bezeichnet die tatsächliche Möglichkeit, eine entscheidungserhebliche Aussage zu untersuchen. Diese Möglichkeit ist graduell: Ein öffentlicher Mitschnitt kann verfügbar sein, ein vollständiges Transkript fehlen, die Grundgesamtheit unklar oder eine maschinelle Auswertung lizenzrechtlich eingeschränkt sein. Eine konkrete Lückenkarte ist deshalb aussagekräftiger als die pauschale Behauptung, die gesamte Wirklichkeit liege nur bei der Gegenseite.</w:t>
      </w:r>
    </w:p>
    <w:p>
      <w:r>
        <w:t>Funktionale Kohärenz kann als Prüfschema für das Verhältnis zwischen Auftrag, organisatorischer Sicherung und beobachteter Umsetzung dienen. Ein Organisationsdefizit ist jedoch nicht stets ein Programmdefizit, und ein Programmfehler beweist nicht stets ein institutionelles Versagen. Die drei Ebenen müssen durch konkrete Tatsachen verbunden werden. Die digitale Erkenntnisordnung ist dann kein neues Sonderprozessrecht, sondern eine geordnete Darstellung dessen, wer welche Daten kennt, wie sie erhoben und überprüft werden und welche Aussage das Gericht auf dieser Grundlage verantworten kann. [U04, Schlusskapitel]</w:t>
      </w:r>
    </w:p>
    <w:p>
      <w:pPr>
        <w:pStyle w:val="Heading1"/>
      </w:pPr>
      <w:r>
        <w:t>G.13 Grundgesamtheit, Stichprobe und Bedeutung der Vollanalyse</w:t>
      </w:r>
    </w:p>
    <w:p>
      <w:r>
        <w:t>Der Untersuchungsgegenstand ist zunächst als Grundgesamtheit zu definieren: beitragsfinanzierte Anbieter, zugehörige lineare und nichtlineare Angebote, Untersuchungstage, Genres und Einheiten. Ein Programmverzeichnis ist noch keine Inhaltsanalyse. Es schafft aber die Voraussetzung dafür, die Auswahl und die Abdeckung einer Inhaltsanalyse zu beurteilen. Fehlt bereits ein solcher Rahmen, ist zunächst nach vorhandenen Sende- und Angebotsverzeichnissen zu fragen, nicht sofort nach allen redaktionellen Datenbanken.</w:t>
      </w:r>
    </w:p>
    <w:p>
      <w:r>
        <w:t>Gesamtprogrammbezug bedeutet nicht notwendig, jede einzelne Sekunde mit identischer Tiefe zu kodieren. Das Bundesverwaltungsgericht legt den materiellen Bezugsrahmen und die Anforderungen an wissenschaftliche Substantiierung fest; es schreibt keine bestimmte technische Vollerhebung vor. Eine methodisch vertretbare geschichtete Stichprobe kann Aussagen über einen umfassenderen Bestand erlauben, wenn Auswahl, Gewichtung, Ausfälle und Grenzen offengelegt werden. Dass eine bestimmte Stichprobe bereits hinreichend ist, muss allerdings fachlich begründet werden und kann nicht allein durch ihre Bezeichnung als repräsentativ feststehen. [R01, Rn. 40, 48]</w:t>
      </w:r>
    </w:p>
    <w:p>
      <w:r>
        <w:t>Die Vorarbeiten verwenden Vollanalyse teilweise als Ideal einer umfassenden Rekonstruktion. Dieses Ideal wird hier vom zwingenden Beschaffungsprogramm getrennt. Eine Vollerhebung der Metadaten, eine breit angelegte Stichprobe der Inhalte und vertiefte Analysen begründet ausgewählter Mechanismen können ein abgestuftes Design bilden. Die Ergebnisse dürfen dann nur in dem Umfang verallgemeinert werden, den dieses Design trägt. Eine am Ende nicht realisierte Vollanalyse darf nicht durch ihren Planungsumfang als bereits vorhandener Gesamtbeweis erscheinen.</w:t>
      </w:r>
    </w:p>
    <w:p>
      <w:r>
        <w:t>Eine feste Zahl von Sendungen lässt sich ohne Kenntnis der Varianz, der zeitlichen Abhängigkeiten, der relevanten Effektgrößen und des Bestands nicht seriös vorgeben. Zunächst ist ein Pilot erforderlich, aus dem ein fachlich begründeter Stichprobenumfang entwickelt wird. Wiederholungen, identische Gemeinschaftsbeiträge und Mehrfachverwertung in verschiedenen Kanälen dürfen nicht als unabhängige Beobachtungen behandelt werden. Zugleich kann gerade eine solche Verbreitung für die Reichweite eines Musters relevant sein; das verlangt eine zweite, getrennte Auswertungsebene.</w:t>
      </w:r>
    </w:p>
    <w:p>
      <w:pPr>
        <w:pStyle w:val="Heading1"/>
      </w:pPr>
      <w:r>
        <w:t>G.14 Kodierplan und nachvollziehbare Messgrößen</w:t>
      </w:r>
    </w:p>
    <w:p>
      <w:r>
        <w:t>Der Kodierplan soll mindestens Medium, Anbieter, Format, Datum, Dauer, Themenzuordnung, Sprecherrolle, erkennbare Position, Darstellungsform, Quellenbezug und Kontextmerkmale erfassen. Zusätzlich sind Aussagen über Fakten und Meinungen auseinanderzuhalten. Die bloße Erwähnung einer Position, ihre sachliche Erläuterung, eine kritische Nachfrage und ihre redaktionelle Billigung sind unterschiedliche Beobachtungen. Eine reine Namens- oder Schlagwortzählung kann diese Unterschiede nicht ersetzen.</w:t>
      </w:r>
    </w:p>
    <w:p>
      <w:r>
        <w:t>Ausgewogenheit darf nicht als starre mathematische Gleichverteilung missverstanden werden. Das rechtliche Modell verlangt weder die gleiche Zahl positiver Meldungen über jede Partei noch identische Sendezeit für jede Behauptung. Ein Nachrichtenereignis kann eine ungleiche Berichterstattung sachlich begründen. Deshalb müssen alternative Erklärungen vorab definiert und an einem unabhängigen Vergleichsbestand getestet werden. Andernfalls würde die Untersuchung ihre eigene politische Vorstellung zur Messlatte machen. [R01, Rn. 36-44]</w:t>
      </w:r>
    </w:p>
    <w:p>
      <w:r>
        <w:t>Geeignete beschreibende Indikatoren können etwa die Bandbreite tatsächlich erläuterter Positionen, den Anteil begründeter statt ausschließlich etikettierender Kritik, die Vielfalt fachlicher Quellen, die erkennbare Trennung von Bericht und Kommentar oder die wiederkehrende Auslassung bestimmter sachlich relevanter Argumente betreffen. Jeder Indikator braucht eine Kodieranweisung mit positiven, negativen und mehrdeutigen Beispielen. Die Aussagekraft ist getrennt vom späteren rechtlichen Urteil zu dokumentieren.</w:t>
      </w:r>
    </w:p>
    <w:p>
      <w:r>
        <w:t>Es empfiehlt sich, wenigstens eine vorab bestimmte Teilmenge von mehreren unabhängig arbeitenden Personen kodieren zu lassen. Abweichungen werden ausgewertet, nicht stillschweigend geglättet. Werden Kategorien nach dem Pilot verändert, sind Version, Anlass und Auswirkungen auf bereits kodiertes Material festzuhalten. Die methodischen Zielwerte für Übereinstimmung und Fehlerraten muss die wissenschaftliche Leitung vor der Hauptauswertung begründen; sie werden nicht durch diesen juristischen Text festgelegt.</w:t>
      </w:r>
    </w:p>
    <w:p>
      <w:pPr>
        <w:pStyle w:val="Heading1"/>
      </w:pPr>
      <w:r>
        <w:t>G.15 Themenauslassung, Gewichtung und möglicher Ausgleich</w:t>
      </w:r>
    </w:p>
    <w:p>
      <w:r>
        <w:t>Eine negative Aussage wie über ein bestimmtes Ereignis sei nicht berichtet worden ist anspruchsvoller als der Nachweis eines konkreten ausgestrahlten Beitrags. Sie setzt einen abgegrenzten Suchraum, nachvollziehbare Suchbegriffe und eine begründete Aussage über dessen Vollständigkeit voraus. Kein Suchtreffer in einer Mediathek beweist nicht, dass niemals ein Bericht ausgestrahlt wurde. Depublizierung, andere Schreibweisen, Metadatenlücken oder ein Beitrag unter einem anderen Oberthema können alternative Erklärungen sein.</w:t>
      </w:r>
    </w:p>
    <w:p>
      <w:r>
        <w:t>Die inhaltliche Relevanz eines ausgelassenen Gegenstands ist anhand der damaligen Ereignis- und Quellenlage zu begründen. Spätere Kenntnisse dürfen nicht ungekennzeichnet zur Pflicht des damaligen Journalisten erklärt werden. Eine systematische Auslassung kann nur untersucht werden, wenn auch ein unabhängig definierter Ereignis- oder Argumentbestand vorliegt. Die eigene Auswahl politisch gewünschter Meldungen ist dafür kein hinreichender Ersatz.</w:t>
      </w:r>
    </w:p>
    <w:p>
      <w:r>
        <w:t>Die mögliche Kompensation innerhalb des öffentlich-rechtlichen Gesamtangebots ist aktiv zu untersuchen. Eine in einer Nachrichtensendung fehlende Perspektive kann etwa in einem anderen linearen Format oder einem nichtlinearen Angebot sachlich behandelt worden sein. Ob und wie Unterschiede in Auffindbarkeit, Verbreitung und Reichweite rechtlich zu gewichten sind, ist von der bloßen Existenz dieses Angebots zu trennen. Die Untersuchung sollte mindestens eine angebotsbezogene und eine begründet gewichtete Sensitivitätsbetrachtung ausweisen, statt das jeweils für die eigene These günstigste Gewicht zu wählen. [R01, Rn. 40]</w:t>
      </w:r>
    </w:p>
    <w:p>
      <w:pPr>
        <w:pStyle w:val="Heading1"/>
      </w:pPr>
      <w:r>
        <w:t>G.16 Datenbestand, Archivrealität und mildere Zugangsformen</w:t>
      </w:r>
    </w:p>
    <w:p>
      <w:r>
        <w:t>Die offizielle Archivbeschreibung der ARD bestätigt dezentrale Bestände. Für Das Erste besteht kein zentrales Archiv sämtlicher Beiträge; regelmäßig sind die produzierenden Anstalten zuständig. Das DRA ist insbesondere für historische Überlieferungen zuständig und kann bei anstaltsübergreifenden Anfragen beraten. Die Beschreibung weist zugleich darauf hin, dass heutiges Fernsehen nahezu vollständig, Hörfunk dagegen selektiv archiviert wird. Damit ist weder ein vollständiger zentraler Datenbestand noch die durchgehende Existenz aller verlangten Radioinhalte belegt. [R13]</w:t>
      </w:r>
    </w:p>
    <w:p>
      <w:r>
        <w:t>Die gleichen offiziellen Informationen beschreiben Zugänge für Wissenschaft und Forschung, Beratung und Vor-Ort-Recherche. Diese Möglichkeiten müssen ernsthaft geprüft und dokumentiert werden. Eine durchgehende Behauptung objektiver Unmöglichkeit ist nicht tragfähig, solange ein zumutbarer angebotener Zugang nicht untersucht wurde. Ebenso wenig belegt der Verweis auf eine theoretische Vor-Ort-Nutzung bereits, dass eine umfangreiche computergestützte Analyse unter den tatsächlichen Nutzungsbedingungen praktikabel ist. [R13; R14]</w:t>
      </w:r>
    </w:p>
    <w:p>
      <w:r>
        <w:t>Der geeignete Auskunftsweg ist gestuft: erst Bestands- und Zuständigkeitsklärung; dann vorhandene Index- und Metadaten; danach abgegrenzte ausgestrahlte oder veröffentlichte Fassungen einer fachlich definierten Auswahl; schließlich Erweiterung bei begründetem Bedarf. Als mildere Mittel sind Einsicht vor Ort, bereitgestellte Suchläufe, kontrollierter Zugriff durch eine tatsächlich beteiligte wissenschaftliche Stelle, pseudonymisierte Metadaten und beschränkte gerichtliche Verwendung zu erörtern. Das Forschungsinteresse rechtfertigt nicht automatisch die Herausgabe geschützter Redaktionsquellen.</w:t>
      </w:r>
    </w:p>
    <w:p>
      <w:r>
        <w:t>Eine wissenschaftliche Kooperationspartnerin darf nur benannt werden, wenn sie ihre Mitwirkung tatsächlich bestätigt hat. Die in den Archivregeln angesprochene wissenschaftliche Legitimation und eine Bestätigung des Forschungsvorhabens müssen wahrheitsgemäß vorliegen. Die berufliche Qualifikation als Diplom-Kaufmann allein beweist nicht, dass jede Zugangsvoraussetzung eines Hochschulforschungsprojekts erfüllt ist. Es ist vielmehr offen anzufragen, unter welchen Voraussetzungen unabhängige Forschung anerkannt wird. [R14]</w:t>
      </w:r>
    </w:p>
    <w:p>
      <w:pPr>
        <w:pStyle w:val="Heading1"/>
      </w:pPr>
      <w:r>
        <w:t>G.17 KI-gestützte Auswertung ohne Scheingenauigkeit</w:t>
      </w:r>
    </w:p>
    <w:p>
      <w:r>
        <w:t>KI kann in einem geplanten Verfahren zur Transkription, vorläufigen Segmentierung, Suche, Zuordnung und zum Auffinden wiederkehrender sprachlicher Muster eingesetzt werden. Damit ist noch nicht belegt, dass eine konkrete technische Umsetzung für den gesamten historischen Bestand verfügbar, rechtlich nutzbar oder methodisch hinreichend verlässlich ist. Die Untersuchung muss die Fehleranfälligkeit ihrer eigenen Werkzeuge messen. Ein Sprachmodell wird nicht dadurch zum neutralen Sachverständigen, dass seine Ausgabe numerische Kategorien enthält.</w:t>
      </w:r>
    </w:p>
    <w:p>
      <w:r>
        <w:t>Zu dokumentieren sind Originalquelle, gesicherte Arbeitskopie, zulässige Nutzungsart, Werkzeug- und Modellversion, Transkriptionsstand, Kodieranweisung, Prompts, relevante Einstellungen, menschliche Prüfschritte und gegebenenfalls Zufallseinflüsse. Jede entscheidende Schlussfolgerung muss auf nachvollziehbare Fundstellen zurückführbar sein. Ein Hashwert sichert lediglich die Identität einer bestimmten Datei; er belegt nicht die Wahrheit ihres Inhalts, die Vollständigkeit des Archivs oder die Richtigkeit der Kodierung.</w:t>
      </w:r>
    </w:p>
    <w:p>
      <w:r>
        <w:t>Für eine Hauptuntersuchung ist eine vorab festgelegte manuelle Validierung erforderlich. Schwierige Kategorien wie Ironie, verkürzte Zitate, kontextabhängige Wertungen und indirekte Positionserwähnung sind besonders zu beachten. Ergebnisse sollten unter alternativen plausiblen Kodier- und Gewichtungsentscheidungen verglichen werden. Die juristische Subsumtion, insbesondere die Schwelle des groben Missverhältnisses, darf nicht durch eine im System hinterlegte selbstgewählte Schwelle automatisch ersetzt werden.</w:t>
      </w:r>
    </w:p>
    <w:p>
      <w:pPr>
        <w:pStyle w:val="Heading1"/>
      </w:pPr>
      <w:r>
        <w:t>G.18 Fehlende Daten und die Grenzen negativer Schlussfolgerungen</w:t>
      </w:r>
    </w:p>
    <w:p>
      <w:r>
        <w:t>Nicht vorhandene, nicht zugängliche und nur aufwendig zugängliche Daten sind unterschiedliche Kategorien. Ebenso sind ein unbeantwortetes Ersuchen, eine ausdrückliche Ablehnung, eine Kostenankündigung, ein konkretes Nutzungsangebot und ein Hinweis auf eine andere zuständige Stelle nicht gleichzusetzen. Eine standardisierte Antwortklassifikation ist sowohl für die wissenschaftliche Untersuchung als auch für Projekt 51 erforderlich.</w:t>
      </w:r>
    </w:p>
    <w:p>
      <w:r>
        <w:t>Die Nichtvorlage eines Dokuments kann verschiedene Gründe haben: fehlender Bestand, unzutreffender Adressat, urheberrechtliche Nutzungsbegrenzung, Persönlichkeitsrechte, Redaktionsschutz, unverhältnismäßiger Aufbereitungsaufwand oder ein streitiger Zugangsanspruch. Diese Gründe sind zu prüfen und gegebenenfalls zu widerlegen. Sie dürfen nicht ohne Tatsachengrund in absichtliche Beweisvereitelung umbenannt werden. Das gilt besonders für regelmäßige Speicherfristen, die schon vor einem konkreten Rechtsstreit bestanden haben können.</w:t>
      </w:r>
    </w:p>
    <w:p>
      <w:r>
        <w:t>Für wissenschaftliche Schlussfolgerungen ist anzugeben, welche Schichten fehlen, wie groß die beobachtete Abdeckung ist und ob der Ausfall mit dem untersuchten Inhalt zusammenhängen könnte. Ein selektiver Ausfall kann eine Verallgemeinerung erheblich beeinträchtigen. Im rechtlichen Verfahren ist getrennt zu prüfen, ob die verbleibende Unsicherheit durch konkrete gerichtliche Aufklärung verringert werden kann und welche Bedeutung ein tatsächlich zurechenbares Vereiteln bestimmter Beweismittel besitzt. Ein Automatismus besteht nicht. [R03, §§ 86, 108]</w:t>
      </w:r>
    </w:p>
    <w:p>
      <w:pPr>
        <w:pStyle w:val="Heading1"/>
      </w:pPr>
      <w:r>
        <w:t>G.19 Beweissicherung und gerichtliche Vorlage</w:t>
      </w:r>
    </w:p>
    <w:p>
      <w:r>
        <w:t>Ein Ersuchen um Sicherung sollte einen konkreten bereits existierenden Datenbestand bezeichnen, den relevanten Zeitraum erläutern und einen angemessenen, begrenzten Sicherungszeitraum vorschlagen. Es sollte nach Löschregeln, Zuständigkeiten und der Möglichkeit einer beschränkten Zwischenaufbewahrung fragen. Ein unbefristetes Verbot, sämtliche Inhalte aller Anstalten zu verändern oder zu löschen, wird weder durch ein privates Schreiben noch durch den bloßen Hinweis auf 6 C 5.24 verbindlich angeordnet. [U09, U13; R01]</w:t>
      </w:r>
    </w:p>
    <w:p>
      <w:r>
        <w:t>Im anhängigen Verfahren kann die Partei auf die Beiziehung konkret bezeichneter vorhandener Unterlagen und Daten hinwirken. §§ 86, 98 und 99 VwGO bilden dabei unterschiedliche prozessuale Anknüpfungspunkte; die jeweiligen Voraussetzungen, die tatsächliche Verfügungsbefugnis und etwaige Geheimhaltungsgründe bleiben zu beachten. Die Akteneinsicht nach § 100 VwGO eröffnet den Zugang zu den Verfahrensakten, nicht automatisch zu jeder Datenbank einer Rundfunkanstalt. Ein etwa erforderliches Zwischenverfahren über Geheimhaltung ist von einem allgemeinen Auskunftsprozess zu unterscheiden. [R03]</w:t>
      </w:r>
    </w:p>
    <w:p>
      <w:r>
        <w:t>Besteht eine konkrete unmittelbar drohende Vernichtung entscheidungserheblicher Daten, kommt eine gesonderte Prüfung vorläufigen Rechtsschutzes in Betracht. Hierfür müssen sowohl der zu sichernde Anspruch als auch die Dringlichkeit konkret begründet und glaubhaft gemacht werden. Die bloße allgemeine Möglichkeit, dass in großen Archiven irgendwann Daten gelöscht werden, ersetzt diese Voraussetzungen nicht. Diese Frage betrifft Datensicherung; die Vollstreckung von Beiträgen ist ein anderes Verfahren. [R03, § 123]</w:t>
      </w:r>
    </w:p>
    <w:p>
      <w:pPr>
        <w:pStyle w:val="Heading1"/>
      </w:pPr>
      <w:r>
        <w:t>G.20 Beweisanträge: Tatsachen statt rechtlicher Schlussfragen</w:t>
      </w:r>
    </w:p>
    <w:p>
      <w:r>
        <w:t>Ein geeigneter Beweisantrag benennt eine bestimmte behauptete Tatsache, ein geeignetes Beweismittel und die Entscheidungserheblichkeit. Die Frage, ob das Gesamtprogramm verfassungswidrig ist, ist als solche eine Rechtsfrage und kein tauglicher Auftrag, den ein Sachverständiger anstelle des Gerichts entscheiden soll. Ein fachlich geeigneter Auftrag kann dagegen die Erhebung und Beurteilung bestimmter Muster nach einem offengelegten Inhaltsanalyseverfahren betreffen. Die rechtliche Folgerung zieht das Gericht. [R02, S. 30; R03, §§ 86, 98, 108]</w:t>
      </w:r>
    </w:p>
    <w:p>
      <w:r>
        <w:t>Ein sachverständiger Zeuge berichtet über aufgrund besonderer Sachkunde wahrgenommene Tatsachen. Deshalb darf eine Person, etwa ein Vertreter eines Medienanalyseunternehmens, nicht ohne Rückfrage als Zeuge für die sicher erwartete Verfassungswidrigkeit des gesamten Rundfunks benannt werden. Zunächst sind tatsächliche Datensätze, Zeitraum, Reichweite, persönliche Wahrnehmung und Aussagebereitschaft zu klären. Ein sachverständiger Zeuge und ein vom Gericht zur neuen Begutachtung beauftragter Sachverständiger haben unterschiedliche Aufgaben. [U12; R03, § 98 in Verbindung mit den Beweisvorschriften der ZPO]</w:t>
      </w:r>
    </w:p>
    <w:p>
      <w:r>
        <w:t>Die besondere Regel des § 86 Abs. 2 VwGO betrifft einen in der mündlichen Verhandlung gestellten Beweisantrag. Eine schriftliche Anregung wird nicht allein durch die Überschrift Förmlicher Beweisantrag zwingend zu einem solchen Antrag. Die Verfahrensakte muss erkennen lassen, was tatsächlich beantragt, wie darüber entschieden und welche Begründung gegeben wurde. Eine Aufklärungsrüge benötigt später mehr als den Hinweis, ein Gutachten sei generell hilfreich gewesen. [R03, § 86]</w:t>
      </w:r>
    </w:p>
    <w:p>
      <w:pPr>
        <w:pStyle w:val="Heading1"/>
      </w:pPr>
      <w:r>
        <w:t>G.21 Projekt 51 als Untersuchung konkreter Rechtsschutzbarrieren</w:t>
      </w:r>
    </w:p>
    <w:p>
      <w:r>
        <w:t>Das Projekt kann einen eigenständigen Erkenntniswert haben, wenn es reale Zugangs- und Prozessverläufe nach einem einheitlichen Schema dokumentiert. Die bloße Zahl von 51 Gerichten ist jedoch kein wissenschaftlicher Nachweis. Zu erfassen ist, ob eine Entscheidung auf fehlenden Tatsachen, auf einem abweichenden materiell-rechtlichen Maßstab, auf Unzulässigkeit, Verspätung, unzureichender Rechtsmittelbegründung oder einer anderen Ursache beruht. Nur ein tatsächlich maßgebliches Zugangsproblem stützt die spezifische These einer unerfüllbaren Erkenntnishürde.</w:t>
      </w:r>
    </w:p>
    <w:p>
      <w:r>
        <w:t>Für bereits verlorene Verfahren ist der tatsächliche Entscheidungsinhalt maßgeblich, nicht die Erinnerung an die Verhandlung oder eine zusammenfassende Projektbeschreibung. Urteil, Rechtsmittelentscheidung, Zustellung, ursprüngliche Anträge, vorgelegte Studien und Beweisanträge müssen vollständig zugeordnet werden. Eine nachträgliche Datenverweigerung kann eine neue Auseinandersetzung um Zugang begründen; sie ändert nicht automatisch den Streitgegenstand oder die Bindungswirkung des alten Beitragsurteils. [R03, § 121]</w:t>
      </w:r>
    </w:p>
    <w:p>
      <w:r>
        <w:t>Die im Archiv entwickelte Feststellungsthese, eine Anstalt dürfe sich nach eigener Datenverweigerung nicht auf mangelnde Substantiierung berufen, stellt eine ernsthaft diskutierbare prozessuale Konsistenzfrage. Ihre isolierte Einklagbarkeit ist aber offen. Ob ein konkretes feststellungsfähiges Rechtsverhältnis oder nur eine dem jeweiligen Gericht vorbehaltene Beweis- und Verfahrensfrage betroffen ist, muss eigenständig geprüft werden. Das Projekt gewinnt nicht dadurch, dass diese Zulässigkeitsfrage in einer Vorlage sprachlich als bereits gelöst behandelt wird. [U14; R03, § 43]</w:t>
      </w:r>
    </w:p>
    <w:p>
      <w:pPr>
        <w:pStyle w:val="Heading1"/>
      </w:pPr>
      <w:r>
        <w:t>G.22 Mögliche engere Rechtsfortbildung und ihre Grenzen</w:t>
      </w:r>
    </w:p>
    <w:p>
      <w:r>
        <w:t>Die stärkste Fassung der klägerischen These setzt nicht bei einem allgemeinen Anspruch auf das gesamte Rundfunkwissen an. Sie setzt bei einem konkreten, fortdauernden Beitragsverhältnis, einer bezeichneten Erkenntnislücke, benannten vorhandenen Beständen und einer nachweislich zumutbaren, rechtlich geschützte Interessen wahrenden Zugangsform an. Aus Art. 19 Abs. 4 GG und der prozessualen Mitwirkung kann argumentiert werden, dass die sachnähere Anstalt ihre eigenen Erkenntnismöglichkeiten nicht vollständig ausblenden darf, während sie eine gerade auf diesen Daten beruhende Substantiierung verlangt. Dies ist eine in diesem Dokument vorgeschlagene Rechtsableitung, kein wörtlicher Rechtssatz des Bundesverwaltungsgerichts. [R22; R03, § 86]</w:t>
      </w:r>
    </w:p>
    <w:p>
      <w:r>
        <w:t>Die Gegenargumente sind erheblich: Der Rundfunk wird ausgestrahlt; die behauptete ausschließliche Datenherrschaft kann daher unzutreffend sein. Eine Anstalt kontrolliert nicht alle anderen Anstalten. Schutzrechte können Zugang begrenzen. Das prozessuale Verhalten einer Partei bindet das Gericht nicht an deren Rechtsauffassung. Und ein prozessualer Einwand ist regelmäßig im anhängigen Hauptverfahren zu behandeln, nicht durch ein zweites Gericht abstrakt vorab festzustellen. Eine tragfähige Musterstrategie muss diese Einwände an konkreten Tatsachen bearbeiten.</w:t>
      </w:r>
    </w:p>
    <w:p>
      <w:r>
        <w:t>Deshalb bleibt der bevorzugte Ort der Konsistenzrüge ein zulässiges laufendes oder neues Beitragsverfahren mit klarer zeitlicher Zuordnung, verbunden mit eingegrenzten Aufklärungsanträgen. Ein konkreter gesetzlicher oder aufgrund eröffneter Nutzungspraxis vertretbar herleitbarer Zugangsanspruch kann gesondert verfolgt werden. Eine isolierte Feststellungsklage ist daneben eine bewusst risikobehaftete Pilotvariante, nicht das gesicherte Standardinstrument für alle bereits Unterlegenen. Die mathematische Zahl der teilnehmenden Gerichte ersetzt keine solche Einzelfallprüfung.</w:t>
      </w:r>
    </w:p>
    <w:p>
      <w:pPr>
        <w:pStyle w:val="Heading1"/>
      </w:pPr>
      <w:r>
        <w:t>G.23 Stufenmodell der erforderlichen weiteren Arbeit</w:t>
      </w:r>
    </w:p>
    <w:p>
      <w:r/>
      <w:r>
        <w:rPr>
          <w:b/>
        </w:rPr>
        <w:t>Stufe 1 - Quellenbereinigung:</w:t>
      </w:r>
      <w:r>
        <w:t xml:space="preserve"> Die tatsächlich vorhandenen Gutachten und Originalbelege werden versioniert; falsche oder überdehnte Zitate werden entfernt. Berichte über Gerichtsverfahren bleiben als solche gekennzeichnet, bis die Originalentscheidungen vorliegen. Daten und Schlussfolgerungen erhalten getrennte Kennungen. Die bisherige 300-Euro-Streitwertbehauptung nach OLG Celle 5 W 46/24 wird nicht weiter verwendet, weil das Verfahren Datenschutzansprüche gegen einen Streaming-Dienst betrifft. [R10]</w:t>
      </w:r>
    </w:p>
    <w:p>
      <w:r/>
      <w:r>
        <w:rPr>
          <w:b/>
        </w:rPr>
        <w:t>Stufe 2 - Fall- und Datenlückenkarte:</w:t>
      </w:r>
      <w:r>
        <w:t xml:space="preserve"> Für jeden Kläger werden Bescheide, Fristen, Beitragsfenster, Vorverfahren, Rechtskraft, bisheriges Material und konkret fehlende Informationen dokumentiert. Für jeden Datenhalter werden Bestand, Rechtsgrundlage, Schutzinteressen, Zugangsvorschlag, Antwort und gegebenenfalls Ablehnungsgrund erhoben. Erst diese Gegenüberstellung zeigt, ob ein für den Fall relevanter Beweisnotstand tatsächlich besteht.</w:t>
      </w:r>
    </w:p>
    <w:p>
      <w:r/>
      <w:r>
        <w:rPr>
          <w:b/>
        </w:rPr>
        <w:t>Stufe 3 - Pilot und Methodensicherung:</w:t>
      </w:r>
      <w:r>
        <w:t xml:space="preserve"> Auf zugänglichem Material werden Such- und Kodierregeln getestet. Eine fachkundige wissenschaftliche Leitung legt Grundgesamtheit, Stichprobenplan, Validierung und die Regeln für fehlende Daten fest. Die Untersuchung enthält ausdrücklich Gegenbeispiele und mögliche Ausgleichsangebote. Ergebnisse aus dem Pilot werden nicht ohne weitere Begründung auf den gesamten Rundfunk verallgemeinert.</w:t>
      </w:r>
    </w:p>
    <w:p>
      <w:r/>
      <w:r>
        <w:rPr>
          <w:b/>
        </w:rPr>
        <w:t>Stufe 4 - Gerichtliche Anschlussfähigkeit:</w:t>
      </w:r>
      <w:r>
        <w:t xml:space="preserve"> Ein konkret individualisierter Schriftsatz benennt den vorhandenen Tatsachenkern, seine Grenzen und die begrenzte weitere Aufklärung. Das Gericht wird nicht um eine allgemeine Bestätigung der Projektthese gebeten, sondern um eine Entscheidung über bestimmte Anknüpfungstatsachen und die sachgerechte Erkenntnisgewinnung. Die schriftliche und mündliche Behandlung wird dokumentiert, damit gegebenenfalls konkrete Rechtsmittelgründe geprüft werden können.</w:t>
      </w:r>
    </w:p>
    <w:p>
      <w:pPr>
        <w:pStyle w:val="Heading1"/>
      </w:pPr>
      <w:r>
        <w:t>G.24 Ergebnis und Reichweite des zusammengeführten Gutachtens</w:t>
      </w:r>
    </w:p>
    <w:p>
      <w:r>
        <w:t>Die Zusammenführung der vier Kernarbeiten ist sinnvoll, wenn sie drei Ebenen sichtbar hält: bereits belegte oder in den Quellen berichtete Tatsachen, eine begründete rechtliche Argumentation und die Planung der noch ausstehenden empirischen Untersuchung. Die vorliegende Fassung leistet diese Neuordnung. Sie ist nicht die fehlende flächendeckende Zwei-Jahres-Inhaltsanalyse und darf nicht unter dieser Bezeichnung eingereicht werden.</w:t>
      </w:r>
    </w:p>
    <w:p>
      <w:r>
        <w:t>Das vorhandene Material erlaubt eine konkretisierte Diskussion über Datenzugang, Methoden und institutionelle Beschwerdekontrolle. Es erlaubt auf dem vorliegenden Stand noch nicht die Feststellung, sämtliche beitragsfinanzierten öffentlich-rechtlichen Angebote hätten im jeweils streitigen Zeitraum die verfassungsrechtliche Mindestschwelle unterschritten. Insbesondere sind die Beschwerde-Rohdaten, die vollständigen Antwortverläufe, eine umfassendere Inhaltsstichprobe und die einzelnen Gerichtsentscheidungen nicht durch einen neuen juristischen Text ersetzbar.</w:t>
      </w:r>
    </w:p>
    <w:p>
      <w:r>
        <w:t>Der tragende prozessuale Gedanke bleibt gleichwohl bedeutsam: Ein Gericht muss einen substantiierten Einwand nach dem tatsächlich einschlägigen Maßstab behandeln und darf praktische Erkenntnishindernisse nicht durch eine bloße Formel für unerheblich erklären. Wie viel eigener Tatsachenvortrag, welche Mitwirkung und welche gerichtliche Untersuchung im Einzelfall erforderlich sind, ist gerade die zu begründende Frage. Dafür bietet diese Stellungnahme eine bereinigte Grundlage, aber keine Erfolgsgarantie. [R01, Rn. 47-50; R02, S. 30-32; R03, §§ 86, 108]</w:t>
      </w:r>
    </w:p>
    <w:p>
      <w:pPr>
        <w:pStyle w:val="Heading1"/>
      </w:pPr>
      <w:r>
        <w:t>Ergänzung 2026: Stand nach den neuen Eingängen</w:t>
      </w:r>
    </w:p>
    <w:p>
      <w:r>
        <w:t>Die im bisherigen Leitband getroffene Unterscheidung zwischen rechtlichem Maßstab, methodischer Vorarbeit, begrenztem empirischem Befund und geplantem weiteren Erkenntnisgewinn wird beibehalten. Neu hinzu kommen die Langzeitauswertung markierter Tagesthemen-Kommentare und die technische O-Ton-Zählung in vier Nachrichtenformaten. Sie werden in G02 detailliert untersucht; ihre Originale liegen als N02 und N03 vor. Es wird nicht behauptet, dass ihre Rohdaten oder die Erkennungsergebnisse in dieser Revision bereits selbst reproduziert wurden.</w:t>
      </w:r>
    </w:p>
    <w:p>
      <w:r>
        <w:t>Die neuen empirischen Arbeiten begrenzen zugleich eine zu weit gefasste Informationsasymmetrie-These. Offensichtlich existiert verwertbares öffentliches Material. Der relevante Einwand kann daher nicht lauten, wissenschaftliche Medienanalyse sei ohne interne Rundfunkdaten schlechthin unmöglich. Zu begründen sind vielmehr die konkreten Grenzen des verfügbaren Bestands für den jeweils verfolgten Erkenntniszweck, die dadurch entstehenden Verzerrungen und die noch erforderlichen, begrenzten Zugänge. Die im V-Gutachten entwickelte Zugangsfrage bleibt erhalten, wird aber durch P15 und die tatsächlich vorliegenden Studien konkretisiert. [U01; N02; N03]</w:t>
      </w:r>
    </w:p>
    <w:p>
      <w:r>
        <w:t>Output, Kontrolle und Produktion werden nun systematisch unterschieden. Die inhaltliche Analyse, der dokumentierte Umgang mit Beschwerden und die Untersuchung redaktioneller Entscheidungsmechanismen können sich ergänzen. Ihre Verbindung erfordert einen gemeinsamen Vorgangs-, Zeitraum- oder methodisch begründeten Strukturbezug. Sie darf nicht durch die Wiederholung derselben unbestätigten Behauptung in drei Texten simuliert werden. Ein Qualitätsmangel, die Erfolglosigkeit einer Beschwerde und eine redaktionelle Hierarchie sind jeweils andere Tatsachenfragen. [G02]</w:t>
      </w:r>
    </w:p>
    <w:p>
      <w:r>
        <w:t>Die Hinweise aus Berlin und Ansbach werden nicht als flächendeckend verifizierter Rechtsprechungsbefund bezeichnet. Ihre nützliche Funktion ist die Identifikation konkreter Prüfaufgaben: Antragsumfang, Kosten, Zeitfenster, Zugriff je Format, methodische Validierung und begrenzte Beweisthemen. Die in Schmitz' Buch diskutierte OVG-Entscheidung bleibt bis zur Beschaffung des Originals eine berichtete Entscheidung. Eine neu erstellte gerichtliche Textähnlichkeitsanalyse wurde nicht durchgeführt; Q04 beschreibt die dazu erforderliche, fallbezogene Dokumentation.</w:t>
      </w:r>
    </w:p>
    <w:p>
      <w:r>
        <w:t>Die wissenschaftliche und rechtliche Endverantwortung wird nicht auf ein Sprachmodell verlagert. KI-Unterstützung ist offenzulegen, soweit sie Methodik und Nachvollziehbarkeit betrifft. Die fachliche Kontrolle muss an Originalmaterialien, dokumentierten Auswahlentscheidungen, Validierungsdaten und tatsächlich verantwortlichen Personen ansetzen. Eine Vermutung über die Textentstehung entscheidet weder für noch gegen die Richtigkeit eines konkreten Befunds. Länge ist kein Ersatz für Substanz; Kürze ist aber auch kein Ersatz für die vollständige Belegführung.</w:t>
      </w:r>
    </w:p>
    <w:p>
      <w:pPr>
        <w:pStyle w:val="Heading1"/>
      </w:pPr>
      <w:r>
        <w:t>G.25 Verantwortungs- und Verwendungserklärung</w:t>
      </w:r>
    </w:p>
    <w:p>
      <w:r>
        <w:t>Vor einer Unterzeichnung sind alle im Einzelfall verwendeten Tatsachenangaben und Quellenbezüge zu kontrollieren. Es ist kenntlich zu machen, welche empirischen Teile selbst erhoben, welche aus fremden Untersuchungen übernommen und welche lediglich als Forschungsbedarf beschrieben werden. Eine berufliche oder wissenschaftliche Qualifikation darf nicht erweitert oder einem Dritten ohne dessen Zustimmung zugeschrieben werden. Eine private Stellungnahme wird durch ihre Überschrift nicht zu einem vom Gericht eingeholten Gutachten.</w:t>
      </w:r>
    </w:p>
    <w:p>
      <w:r>
        <w:t>Die Originalarbeiten bleiben als eigenständige Quellen mit ihrem jeweiligen Datum und Erkenntnisstand erhalten. Werden sie einem Gericht zusätzlich vorgelegt, muss die einreichende Partei erklären, welche Aussagen diese neue Fassung berichtigt oder begrenzt. Insbesondere die unzutreffenden Aussagen zu unmittelbar aus 6 C 5.24 folgenden Auskunftsrechten, zur Schweigefiktion, zur generellen Kostenfreiheit und zum pauschalen Streitwert dürfen nicht durch undifferenzierte Bezugnahme erneut zum Vortrag gemacht werden.</w:t>
      </w:r>
    </w:p>
    <w:p>
      <w:r>
        <w:t>{Ort}, {Datum}</w:t>
      </w:r>
    </w:p>
    <w:p>
      <w:r>
        <w:br/>
        <w:t>________________________________________</w:t>
        <w:br/>
        <w:t>{Vorname Nachname / Prozessbevollmächtigte Person}</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R01 | BVerwG, Urteil vom 15.10.2025 - 6 C 5.24. Amtlicher Volltext; insbesondere Rn. 21-50. Kein allgemeiner Auskunftsanspruch; verfassungsrechtliche Evidenzkontrolle, Gesamtangebot, Zeitraum und Substantiierung.</w:t>
        <w:br/>
        <w:t>https://www.bverwg.de/151025U6C5.24.0</w:t>
      </w:r>
    </w:p>
    <w:p>
      <w:r>
        <w:rPr>
          <w:sz w:val="18"/>
        </w:rPr>
        <w:t>R02 | VGH Baden-Württemberg, Urteil aufgrund Verhandlung vom 14.04.2026 - 2 S 2529/25. Amtliche Entscheidungs-PDF, 43 Seiten. Insbesondere S. 14-28 zu materiellen Gegenargumenten sowie S. 30-32 zur Kritik an der Gutachtenhürde. Berufung zurückgewiesen, Revision nicht zugelassen; weiterer Verfahrensgang hier nicht verifiziert.</w:t>
        <w:br/>
        <w:t>https://verwaltungsgerichtshof-baden-wuerttemberg.justiz-bw.de/pb/site/pbs-bw-rebrush-jum/get/documents_E-1983769261/jum1/JuM/VGH/Presse/Entscheidungen/2s2529.25u.pdf</w:t>
      </w:r>
    </w:p>
    <w:p>
      <w:r>
        <w:rPr>
          <w:sz w:val="18"/>
        </w:rPr>
        <w:t>R03 | Verwaltungsgerichtsordnung. Amtlicher konsolidierter Gesetzestext; insbesondere §§ 42, 43, 52, 58, 60, 67, 74, 75, 81, 82, 84, 86, 88, 94, 98-101, 108, 113, 121, 123, 124a, 153, 154, 161, 166, 173, 188. Anwendung stets nach konkreter Prozesslage.</w:t>
        <w:br/>
        <w:t>https://www.gesetze-im-internet.de/vwgo/BJNR000170960.html</w:t>
      </w:r>
    </w:p>
    <w:p>
      <w:r>
        <w:rPr>
          <w:sz w:val="18"/>
        </w:rPr>
        <w:t>R08 | Medienstaatsvertrag, § 26, NI-VORIS. Amtliches Landesportal, aktuelle Fassung ab 01.12.2025 und auswählbare Vorfassungen. Für Zeiträume vor 07.11.2020 ist nicht § 11 MStV, sondern die damalige RStV-Fassung zu prüfen.</w:t>
        <w:br/>
        <w:t>https://voris.wolterskluwer-online.de/browse/document/53bc259e-02ea-33cd-b698-f53eb97a1d87</w:t>
      </w:r>
    </w:p>
    <w:p>
      <w:r>
        <w:rPr>
          <w:sz w:val="18"/>
        </w:rPr>
        <w:t>R09 | BGH, Pressemitteilung 045/2026 zu VI ZR 335/24 vom 09.03.2026. Amtliche Mitteilung zu arzneimittelrechtlicher Auskunft/Haftung, insbesondere § 84a AMG. In dieser Prüfung kein vollständiger Abgleich aller Entscheidungsgründe; kein Beleg eines allgemeinen rundfunkrechtlichen Datenzugangs.</w:t>
        <w:br/>
        <w:t>https://www.bundesgerichtshof.de/SharedDocs/Pressemitteilungen/DE/2026/2026045.html</w:t>
      </w:r>
    </w:p>
    <w:p>
      <w:r>
        <w:rPr>
          <w:sz w:val="18"/>
        </w:rPr>
        <w:t>R10 | OLG Celle, Beschluss vom 10.06.2024 - 5 W 46/24. Amtliches NI-VORIS: Streitwert von Datenschutzansprüchen nach Cyberangriff auf einen Musik-Streaming-Dienst. Nicht Rundfunkbeitragsrecht.</w:t>
        <w:br/>
        <w:t>https://voris.wolterskluwer-online.de/browse/document/72c4c91d-1db4-4ed1-b51e-512f7a1b71cc</w:t>
      </w:r>
    </w:p>
    <w:p>
      <w:r>
        <w:rPr>
          <w:sz w:val="18"/>
        </w:rPr>
        <w:t>R13 | ARD: Archivzugang für Wissenschaft und Forschung. Aktuelle offizielle Beschreibung: dezentrale Archive; kein zentrales Archiv sämtlicher ARD-Beiträge; TV weitgehend, Radio selektiv archiviert; Beratung und Vor-Ort-Recherche grundsätzlich kostenfrei. Bedingungen der konkreten Nutzung gesondert.</w:t>
        <w:br/>
        <w:t>https://www.ard.de/die-ard/presse-kontakt/archive/archivzugang-fuer-wissenschaft-und-forschung-100.html</w:t>
      </w:r>
    </w:p>
    <w:p>
      <w:r>
        <w:rPr>
          <w:sz w:val="18"/>
        </w:rPr>
        <w:t>R14 | DRA: Regelungen zum Archivzugang. Auf offizieller DRA-Seite angebotene gemeinsame Regelungen, vier Seiten: wissenschaftliche Legitimation, Bestätigung, Zugangsvoraussetzungen, Rechte Dritter und begrenzte Nutzung. Kein pauschaler Anspruch auf Datenexport.</w:t>
        <w:br/>
        <w:t>https://www.dra.de/fileadmin/www.dra.de/downloads/unser-service-fuer-sie/Regelungen_zum_Archivzugang.pdf</w:t>
      </w:r>
    </w:p>
    <w:p>
      <w:r>
        <w:rPr>
          <w:sz w:val="18"/>
        </w:rPr>
        <w:t>R15 | WDR-Gesetz, Fassung ab 01.04.2026, § 55a. Informationsfreiheitsgesetz NRW gilt für WDR, jedoch mit ausdrücklichen Ausnahmen unter anderem für journalistisch-redaktionelle Informationen. Nicht auf alle Anstalten übertragbar.</w:t>
        <w:br/>
        <w:t>https://recht.nrw.de/lrgv/gesetz/01042026-gesetz-ueber-den-westdeutschen-rundfunk-koeln/</w:t>
      </w:r>
    </w:p>
    <w:p>
      <w:r>
        <w:rPr>
          <w:sz w:val="18"/>
        </w:rPr>
        <w:t>R16 | Rheinland-Pfalz: Verwaltungsvorschrift zum Landestransparenzgesetz. Offizielles Transparenzportal, Ziffer 3.8 zu § 3 Abs. 7 LTranspG. Sonderstellung öffentlich-rechtlicher Rundfunkanstalten; daher kein unbesehen auf das ZDF übertragbarer NRW-IFG-Anspruch.</w:t>
        <w:br/>
        <w:t>https://open.rlp.de/fileadmin/open.rlp/Downloads/Transparenz/VV_TranspG_RP.pdf</w:t>
      </w:r>
    </w:p>
    <w:p>
      <w:r>
        <w:rPr>
          <w:sz w:val="18"/>
        </w:rPr>
        <w:t>R22 | Grundgesetz. Insbesondere Art. 2 Abs. 1, Art. 3 Abs. 1, Art. 5 Abs. 1 und 3, Art. 19 Abs. 4, Art. 100 Abs. 1. Normtexte von den jeweils nur vorgeschlagenen Ableitungen unterscheiden.</w:t>
        <w:br/>
        <w:t>https://www.gesetze-im-internet.de/gg/</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G01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1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G01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