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A10 | 3.0 | 03.10.2026</w:t>
      </w:r>
    </w:p>
    <w:p>
      <w:pPr>
        <w:pStyle w:val="Title"/>
      </w:pPr>
      <w:r>
        <w:t>Thematische Sachverhaltsdossiers</w:t>
      </w:r>
    </w:p>
    <w:p>
      <w:pPr>
        <w:pStyle w:val="Subtitle"/>
      </w:pPr>
      <w:r>
        <w:t>Ausführlicher Sachvortrag aus dem Altbestand | Einzelfallbezogen auszufüllen</w:t>
      </w:r>
    </w:p>
    <w:p>
      <w:pPr>
        <w:pStyle w:val="Heading1"/>
      </w:pPr>
      <w:r>
        <w:t>1. Funktion dieses Moduls</w:t>
      </w:r>
    </w:p>
    <w:p>
      <w:r>
        <w:t>Die umfangreichen Tatsachenkomplexe der bisherigen Klageschrift werden nicht durch das neue Deckblatt oder das Leitgutachten erledigt. Dieses Modul erhält ihre thematische Gliederung und verbindet jeden Komplex mit einer konkret prüfbaren Tatsachenbehauptung. Es gibt die im Altbestand erhobenen Vorwürfe nicht als bereits bewiesene Tatsachen aus. Ein Gericht soll nachvollziehen können, was genau für welchen Beitragszeitraum behauptet wird, worauf die Behauptung beruht und was ein noch begehrter Aufklärungsschritt beitragen soll. [U06-U08]</w:t>
      </w:r>
    </w:p>
    <w:p>
      <w:r>
        <w:t>Je Dossier einzutragen: {Behauptung in einem prüfbaren Satz}; {Anstalt, Angebot, Format}; {Sendung/Beitrag und Veröffentlichungsdatum}; {Ausschnitt mit Start/Ende, voller Kontext}; {Primärbeleg und Sicherungsdatei}; {Untersuchungsfenster und erfasster Anteil}; {Gegenbeispiele}; {Auswertungsmethode}; {Schluss auf den Gesamtzusammenhang}; {noch fehlende Daten und begrenztes Beweisangebot}. Ohne diesen Kern bleibt ein Themenverzeichnis ein Rechercheplan und wird nicht als fertiger Sachvortrag versendet.</w:t>
      </w:r>
    </w:p>
    <w:p>
      <w:pPr>
        <w:pStyle w:val="Heading1"/>
      </w:pPr>
      <w:r>
        <w:t>2. Corona-Berichterstattung</w:t>
      </w:r>
    </w:p>
    <w:p>
      <w:r>
        <w:t>Der Altbestand behandelt die Auswahl fachlicher Positionen, die Darstellung von Maßnahmenkritik, Protesten und wissenschaftlichen Gegenargumenten. Als eigenständige Anlage liegt die Stellungnahme von Prof. Dr. Werner Müller vor. Ihr empirischer Kern betrifft die Tagesschau um 20 Uhr zwischen Januar und August 2020. Diese Zeitgrenze, die Beschränkung auf ein Nachrichtenformat und die Abgrenzung zwischen untersuchten Beiträgen und weiterführenden Anhängen bleiben sichtbar. [U08, Auftrag/Methode]</w:t>
      </w:r>
    </w:p>
    <w:p>
      <w:r>
        <w:t>Vortrag ist nicht: Eine heute umstrittene Gesundheitsbewertung beweist rückwirkend eine bestimmte Medienpflichtverletzung. Zu zeigen ist vielmehr, welche Information zum damaligen Sendezeitpunkt verfügbar und fachlich relevant war, wie sie tatsächlich dargestellt wurde, in welchem Zusammenhang und mit welcher Regelmäßigkeit. Studien zu medizinischen Wirkungen sind nur dann Belege für eine Medienanalyse, wenn die Verbindung zur damaligen Veröffentlichungslage und zum konkreten Programm hergestellt wird. Über ihre medizinische Richtigkeit wird hier keine eigenständige Expertise behauptet.</w:t>
      </w:r>
    </w:p>
    <w:p>
      <w:r>
        <w:t>Offen zu klären sind insbesondere die unterschiedliche Prozentangabe in Zusammenfassung und Zählbasis der Müller-Stellungnahme sowie die Codierung der Auswahl- und Diskussionskategorien. Ein später erstellter Bericht kann historisches Programm untersuchen; später verfügbar gewordene Sachinformationen dürfen jedoch nicht ohne zeitliche Kennzeichnung als damals verschwiegene Kenntnisse verwendet werden. Ein nur 2020 betreffender Befund belegt nicht unmittelbar das Programm von 2024. {Hier konkrete Zuordnung und gegebenenfalls Anschlussstudie einsetzen.}</w:t>
      </w:r>
    </w:p>
    <w:p>
      <w:pPr>
        <w:pStyle w:val="Heading1"/>
      </w:pPr>
      <w:r>
        <w:t>3. Ukraine-Berichterstattung und Bildprüfung</w:t>
      </w:r>
    </w:p>
    <w:p>
      <w:r>
        <w:t>Der Altbestand beanstandet Themengewichtungen, die Sichtbarkeit unterschiedlicher Positionen und die Behandlung von Verhandlungs- beziehungsweise Eskalationsfragen. Jede dieser Beanstandungen ist in eine empirisch prüfbare Fragestellung zu übersetzen. Zu unterscheiden sind Meldungen über Ereignisse, Zitate politischer Akteure, eigene redaktionelle Einordnung und gekennzeichnete Kommentare. Dass eine redaktionelle Bewertung nicht der Bewertung des Klägers entspricht, ist noch kein messbarer Mangel. [U06; A03.4]</w:t>
      </w:r>
    </w:p>
    <w:p>
      <w:r>
        <w:t>Neu hinzu tritt der Produktionshinweis aus dem Interview Joe Sperlings: Er schildert Bedenken zur Überprüfbarkeit von Bildmaterial und anschließende interne Auseinandersetzungen. Das ist kein schon bewiesener Einfluss auf bestimmte ausgestrahlte Beiträge. Erforderlich sind Projektidentifikation, eigene Wahrnehmung, konkrete Entscheidung, Zeitpunkt und nachprüfbares Ergebnis. Der öffentliche Widerspruch des ZDF wird nicht verschwiegen. Für eine Verbindung mit der Inhaltsanalyse werden genau dieselben Sendungen beziehungsweise Rechercheprojekte benötigt. [N10; P18]</w:t>
      </w:r>
    </w:p>
    <w:p>
      <w:pPr>
        <w:pStyle w:val="Heading1"/>
      </w:pPr>
      <w:r>
        <w:t>4. Gaza, internationale Konflikte und weitere Fachstudien</w:t>
      </w:r>
    </w:p>
    <w:p>
      <w:r>
        <w:t>Im bisherigen Material werden Fabian Goldmann und eine quantitative Untersuchung der Gaza-Berichterstattung angesprochen. Deren bloße Erwähnung in einer Klageschrift oder im Schmitz-Buch ersetzt nicht den Originaldatensatz, die Definition des Untersuchungsgegenstands und den Nachweis der jeweiligen Teilmenge öffentlich-rechtlicher Angebote. Eine Zahl von Beiträgen darf nicht aus einer früheren Chat-Zusammenfassung ungeprüft als selbst geprüftes Studienergebnis übernommen werden. [U06; N01; N05]</w:t>
      </w:r>
    </w:p>
    <w:p>
      <w:r>
        <w:t>Für ein verwendbares Dossier sind nachzureichen: {konkrete Publikation und Seiten}; {Autorenbestätigung}; {untersuchte Medien}; {Zeitraum}; {Einheit und Auswahlregel}; {Kategoriensystem}; {Rohdatenzugang}; {Aussage, die tatsächlich über das hier relevante Teilprogramm getroffen wird}. Die bloße Richtigkeit oder Falschheit einer völkerrechtlichen Bewertung ist nicht identisch mit der Frage, ob das Programm relevante Meinungen und Sachinformationen angemessen abbildet. Wertende Begriffe aus Buchtiteln werden als Titel, nicht als eigene Tatsachenfeststellung übernommen.</w:t>
      </w:r>
    </w:p>
    <w:p>
      <w:pPr>
        <w:pStyle w:val="Heading1"/>
      </w:pPr>
      <w:r>
        <w:t>5. WHO, UNO und internationale Institutionen</w:t>
      </w:r>
    </w:p>
    <w:p>
      <w:r>
        <w:t>Das alte Anlagenkonzept enthält einen Komplex zur Darstellung internationaler Institutionen. Ein prüfbarer Vorwurf benötigt eine nachvollziehbare Bezugsgröße: Welche konkreten Entscheidungen, Kontroversen oder dokumentierten Positionen waren in der streitigen Zeit relevant, welche Formate behandelten sie, und welche Gesichtspunkte fehlten nach der gewählten Methode? Eine Liste von Themen, über die man mehr Berichterstattung wünscht, begründet noch keine Evidenzschwelle. [U07, Anlagen 1-10]</w:t>
      </w:r>
    </w:p>
    <w:p>
      <w:r>
        <w:t>Ein möglicher Forschungsschritt ist die Untersuchung wiederkehrender Quellen- und Expertenauswahl unter Einbeziehung der inhaltlichen Zuständigkeit der Sprecher. Dabei wird nicht jede Nennung einer internationalen Institution als politische Nähe codiert. Zu prüfen sind Quellenvielfalt, sachliche Funktion und tatsächlich veröffentlichte Gegenpositionen. {Belege und Kategorien einsetzen.}</w:t>
      </w:r>
    </w:p>
    <w:p>
      <w:pPr>
        <w:pStyle w:val="Heading1"/>
      </w:pPr>
      <w:r>
        <w:t>6. Kinder- und Jugendangebote</w:t>
      </w:r>
    </w:p>
    <w:p>
      <w:r>
        <w:t>Der alte Titel Indoktrination von Kindern wird für den gerichtlichen Sachvortrag durch die konkreten behaupteten Gestaltungsmerkmale ersetzt. Alter der Zielgruppe, Format, pädagogischer Kontext, Trennung von Information und Kommentar sowie die genaue Passage sind zu dokumentieren. Eine pauschale Motivunterstellung liefert kein Beweisthema. Die Untersuchung darf weder mit einer allgemeinen Ablehnung bestimmter Lebensformen noch mit einem politischen Wunschprogramm verwechselt werden. [U06/U07]</w:t>
      </w:r>
    </w:p>
    <w:p>
      <w:r>
        <w:t>Vorlage eines Dossiers: {Angebot/Verantwortlicher}; {Episode/Datum}; {vollständiger Kontext}; {beobachtetes Merkmal}; {begründeter Vergleichsmaßstab}; {weitere Folgen mit und ohne dieses Merkmal}; {zeitlicher Bezug}; {fachlich zuständige Auskunftsperson}. Soweit die Untersuchung nur eine Episode erfasst, wird diese Grenze offen benannt und kein ungeprüfter Schluss auf alle Kinderangebote gezogen.</w:t>
      </w:r>
    </w:p>
    <w:p>
      <w:pPr>
        <w:pStyle w:val="Heading1"/>
      </w:pPr>
      <w:r>
        <w:t>7. Regierungsnähe, Unparteilichkeit und Talkshowbeteiligung</w:t>
      </w:r>
    </w:p>
    <w:p>
      <w:r>
        <w:t>Die neuen Studien sind hier konkrete Ergänzungen, aber messen unterschiedliche Eigenschaften. Die O-Ton-Zählung beschreibt eine Sichtbarkeitsvariable; die Glashaus-Analyse eine modellierte Textnähe in Kommentaren. Weder ist jede häufige Erwähnung eine Zustimmung noch jede Nähe zu einem Wahlprogramm Ausdruck einer organisatorischen Abhängigkeit. Eine einzelne Partei kann zudem zugleich durch Personen in Regierung, Opposition, Ländern und Fachfunktionen auftreten. [N02; N03]</w:t>
      </w:r>
    </w:p>
    <w:p>
      <w:r>
        <w:t>Die Untersuchung von Talkshows benötigt ein eigenes Grundgesamtheitsverzeichnis, Gäste- und Rollenregeln, Wiederholungsbehandlung, Sendungsdauer, Themenanlass sowie gegebenenfalls Redeanteile und Kontext. Die Zahl politischer Mandate ist ein möglicher deskriptiver Vergleich, nicht automatisch eine verfassungsrechtliche Sendequote. Jeweils ist zu klären, welche weitere Vielfalt in anderen Formaten eine beanstandete Auswahl ergänzt. Das ist die Brücke zum Gesamtangebot, nicht eine pauschale Behauptung vollständiger Kompensation.</w:t>
      </w:r>
    </w:p>
    <w:p>
      <w:pPr>
        <w:pStyle w:val="Heading1"/>
      </w:pPr>
      <w:r>
        <w:t>8. Nord Stream und Quellenunsicherheit</w:t>
      </w:r>
    </w:p>
    <w:p>
      <w:r>
        <w:t>Für den Altkomplex Nord Stream ist die zeitliche Entwicklung der damals gesicherten Kenntnisse besonders wichtig. Eine Sendung kann Ermittlungsbehauptungen, Regierungsäußerungen und eigene redaktionelle Feststellungen verschieden kennzeichnen. Zu erfassen sind die zu einem konkreten Sendezeitpunkt verwendete Sicherheit der Aussage, Quelle, Gegenposition und spätere Korrektur. Eine später revidierte Verdachtslage ist nicht allein schon ein ursprünglich bewusster Täuschungsversuch. [U06/U07]</w:t>
      </w:r>
    </w:p>
    <w:p>
      <w:r>
        <w:t>Dossier: {Datum}; {Originalpassage}; {zu diesem Zeitpunkt verwendete Primärquelle}; {als gesichert/verdächtig/unklar gekennzeichnet}; {Gegenbelege}; {Folgeberichterstattung}. Die Auswahl besonders umstrittener Beiträge ist als gezielte Fallauswahl kenntlich zu machen. Für den Schluss auf ein regelmäßiges Muster ist eine Vergleichsmenge erforderlich.</w:t>
      </w:r>
    </w:p>
    <w:p>
      <w:pPr>
        <w:pStyle w:val="Heading1"/>
      </w:pPr>
      <w:r>
        <w:t>9. Satire, Böhmermann-Komplex und Genregrenzen</w:t>
      </w:r>
    </w:p>
    <w:p>
      <w:r>
        <w:t>Der alte Anlagenkomplex zu Jan Böhmermann bleibt als prüfbares Themenfeld erhalten. Dabei ist zuerst das Genre zu bestimmen. Satirische Zuspitzung, Tatsachenkern, erkennbare Fiktion und reine Nachrichtendarstellung dürfen nicht nach einer identischen Zählregel vermengt werden. Der gerichtliche Vortrag benennt deshalb die konkrete beanstandete Tatsachenbehauptung beziehungsweise Darstellungsform und ihre Reichweite. Die bloße Nennung einer Person ersetzt keine empirische Untersuchung. [U07]</w:t>
      </w:r>
    </w:p>
    <w:p>
      <w:r>
        <w:t>Zu ergänzen sind {Sendung/Datum}; {Segment}; {Kennzeichnung}; {Tatsachenkern}; {voller Kontext}; {gegebenenfalls rechtskräftige einschlägige Entscheidung}; {Einordnung in eine methodisch konsistente Fallserie}. Fremde gerichtliche Entscheidungen werden erst nach Prüfung des konkreten Streitgegenstands als Beleg herangezogen, nicht aus einer Überschrift als Gesamtbewertung des Rundfunks.</w:t>
      </w:r>
    </w:p>
    <w:p>
      <w:pPr>
        <w:pStyle w:val="Heading1"/>
      </w:pPr>
      <w:r>
        <w:t>10. Mitarbeitermanifest, Gremien und Beschwerdeverfahren</w:t>
      </w:r>
    </w:p>
    <w:p>
      <w:r>
        <w:t>Ein Manifest und öffentliche Äußerungen von Beschäftigten belegen zunächst, dass bestimmte Personen diese Kritik äußern. Weitergehende Tatsachen erfordern eigene Wahrnehmungen, genaue Vorgänge und mögliche Gegenbelege. Bei Maren Müller und weiteren Auskunftspersonen ist zwischen selbst erlebter Beschwerdebehandlung, Kenntnissen aus übermittelten Berichten und fachlicher Bewertung zu unterscheiden. Eine automatische Ankündigung, eine benannte Person werde das gesamte Systemversagen bestätigen, wird nicht verwendet. [U06; U12; G02]</w:t>
      </w:r>
    </w:p>
    <w:p>
      <w:r>
        <w:t>Die Beschwerdedossiers werden mit Kennungen an konkrete Programmbeiträge und Originalantworten angeschlossen. Ergebnis unbekannt bleibt eine eigene Kategorie. Eine sachliche Zurückweisung, eine tatsächliche Korrektur und die bloße Mitteilung des Beschwerdeeingangs werden nicht gleichgesetzt. Die Fragestellung nach fehlender Korrektur wiederkehrender Fehler setzt voraus, dass die jeweiligen Fehler fachlich beziehungsweise rechtlich nachvollziehbar bestimmt und nicht nur als Beschwerdevorwurf erfasst sind. [U02]</w:t>
      </w:r>
    </w:p>
    <w:p>
      <w:pPr>
        <w:pStyle w:val="Heading1"/>
      </w:pPr>
      <w:r>
        <w:t>11. Was in diesem Programm-Modul nicht wieder aufgenommen wird</w:t>
      </w:r>
    </w:p>
    <w:p>
      <w:r>
        <w:t>Vollstreckung, Bescheidautomatisierung, pauschale Unterschriftsbeanstandungen und allgemeine Angriffe auf die Rechtsfähigkeit des Beitragsservice gehören nicht zu diesem Programmbeweis. Bereits in Version 2 abgegrenzte Steuer-, Beihilfe- und allgemeine Kostenbehauptungen werden nicht durch Wiederholung umfangreicherer Texte rehabilitiert. Konkrete individuelle Bescheidfehler bleiben gesondert prüfbar. Ein höchstpersönlicher Gewissens-Härtefall ist, wenn tatsächlich geltend gemacht, gesondert zu prüfen und nicht Bestandteil einer automatisch versendeten Serienklage.</w:t>
      </w:r>
    </w:p>
    <w:p>
      <w:r>
        <w:t>Diese Trennung ist keine Löschung des Altbestands. Sie verhindert, dass die Beweisfrage zur Programmnutzung und Vielfalt mit anderen Streitgegenständen verwechselt wird. Über nicht übernommene Aussagen wird in Q02/Q03 Rechenschaft abgelegt. Für alle übernommenen Sachverhaltskomplexe bleiben die Originalfundstellen und die noch offenen Beschaffungsaufgaben sichtbar.</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A10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 | Beitragsstopper / Projekt 51</dc:title>
  <dc:subject>Modulare Arbeitsfassung; individuelle rechtliche und fachliche Freigabe erforderlich</dc:subject>
  <dc:creator>Freiheitskanzlei - Arbeitsunterlagen</dc:creator>
  <cp:keywords/>
  <dc:description>generated by python-docx</dc:description>
  <cp:lastModifiedBy/>
  <cp:revision>1</cp:revision>
  <dcterms:created xsi:type="dcterms:W3CDTF">2013-12-23T23:15:00Z</dcterms:created>
  <dcterms:modified xsi:type="dcterms:W3CDTF">2013-12-23T23:15:00Z</dcterms:modified>
  <cp:category/>
</cp:coreProperties>
</file>