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A09 | 3.0 | 03.10.2026</w:t>
      </w:r>
    </w:p>
    <w:p>
      <w:pPr>
        <w:pStyle w:val="Title"/>
      </w:pPr>
      <w:r>
        <w:t>Antragsumfang und Streitwert</w:t>
      </w:r>
    </w:p>
    <w:p>
      <w:pPr>
        <w:pStyle w:val="Subtitle"/>
      </w:pPr>
      <w:r>
        <w:t>Zwei alternative Fassungen | Keine automatische Teilrücknahme</w:t>
      </w:r>
    </w:p>
    <w:p>
      <w:r>
        <w:rPr>
          <w:b/>
        </w:rPr>
        <w:t>Intern: Variante A nur bei tatsächlich nicht erweiterten Anträgen; Variante B bei unklaren oder selbständigen Altanträgen. Nicht beide Varianten ungeprüft versenden. Der Wert wird vom Gericht bestimmt, nicht durch eine Kostenobergrenze des Klägers.</w:t>
      </w:r>
    </w:p>
    <w:p>
      <w:pPr>
        <w:pStyle w:val="Heading1"/>
      </w:pPr>
      <w:r>
        <w:t>Variante A - Erläuterung eines schon bisher begrenzten Begehrens</w:t>
      </w:r>
    </w:p>
    <w:p>
      <w:r>
        <w:t>An das {Verwaltungsgericht}, {Anschrift}. Im Verfahren {Klägerseite} gegen {Anstalt}, Az. {Aktenzeichen}.</w:t>
      </w:r>
    </w:p>
    <w:p>
      <w:r>
        <w:t>Zu dem Hinweis vom {Datum} erläutere ich den Umfang meines Begehrens. Angefochten sind ausschließlich {jeden Bescheid mit Datum, Abrechnungszeitraum und angegriffenem Betrag bezeichnen}. Die in meinem Schriftsatz vom {Datum}, S. {Seite}, verwendete Formulierung {wörtlich einsetzen} bezeichnet nach ihrem Zusammenhang {konkrete Erläuterung}. Sie verlangt weder eine zeitlich unbegrenzte Befreiung von zukünftigen Beiträgen noch eine abstrakte Feststellung zur gesamten Rundfunkordnung oder eine selbständige Verurteilung auf Datenherausgabe.</w:t>
      </w:r>
    </w:p>
    <w:p>
      <w:r>
        <w:t>Die dort genannten Aufklärungsschritte beziehen sich auf die Tatsachengrundlage dieses Anfechtungsbegehrens. Ich bitte daher, den tatsächlichen Umfang meiner Anträge gemäß § 88 VwGO zu bestimmen und den Streitwert unter Anwendung der einschlägigen Vorschriften des GKG festzusetzen. Bei der Anfechtung einer bezifferten Geldfestsetzung ist insbesondere § 52 Abs. 3 GKG zu beachten. Eine etwaige Bewertung anderer, tatsächlich selbständiger Gegenstände oder offensichtlich absehbarer zukünftiger Wirkungen ist hiervon zu unterscheiden.</w:t>
      </w:r>
    </w:p>
    <w:p>
      <w:r>
        <w:t>Soweit das Gericht die bezeichnete Formulierung dennoch als zusätzlichen Sachantrag versteht, bitte ich um einen konkreten Hinweis, welche Textstelle welchen eigenständigen Gegenstand mit welcher Wertfolge begründen soll. Ich behaupte nicht, ein eindeutig erhobener weiterer Sachantrag lasse sich durch nachträgliche bloße Umbenennung rückwirkend beseitigen. Dieser Schriftsatz erklärt keine Teilrücknahme eines zuvor tatsächlich selbständig erhobenen Anspruchs.</w:t>
      </w:r>
    </w:p>
    <w:p>
      <w:r>
        <w:t>{Ort, Datum, Unterschrift}</w:t>
      </w:r>
    </w:p>
    <w:p>
      <w:pPr>
        <w:pStyle w:val="Heading1"/>
      </w:pPr>
      <w:r>
        <w:t>Variante B - Klärung bei tatsächlichen Altanträgen</w:t>
      </w:r>
    </w:p>
    <w:p>
      <w:r>
        <w:t>An das {Verwaltungsgericht}, {Anschrift}. Im Verfahren {Klägerseite} gegen {Anstalt}, Az. {Aktenzeichen}.</w:t>
      </w:r>
    </w:p>
    <w:p>
      <w:r>
        <w:t>In meinem bisherigen Schriftsatz vom {Datum} wurden neben der Bescheidanfechtung folgende weitere Formulierungen verwendet: {genauer Wortlaut, Seiten und Rangverhältnis als Haupt-/Hilfsantrag}. Ich bitte um Erörterung, ob und in welchem Umfang diese als selbständige Sachanträge zu verstehen sind und welche Wertansätze hierfür in Betracht gezogen werden. Eine schlichte Behauptung, solche Formulierungen hätten nie existiert, erfolgt nicht.</w:t>
      </w:r>
    </w:p>
    <w:p>
      <w:r>
        <w:t>Insbesondere bitte ich um Unterscheidung zwischen einem weiteren materiellen Klagebegehren, einer rechtlichen Begründung des bereits anhängigen Anfechtungsanspruchs und einer unselbständigen Anregung zur Sachaufklärung. Für Hilfsanträge ist zu prüfen, ob über sie entschieden wird und ob sie wirtschaftlich denselben Gegenstand betreffen. Eine schematische Addition jedes im Schriftsatz vorkommenden Antragsworts ist damit nicht gleichzusetzen. [§§ 39, 45, 52 GKG]</w:t>
      </w:r>
    </w:p>
    <w:p>
      <w:r>
        <w:t>Nach Klärung des bisherigen Antragsumfangs und der Kostenfolgen werde ich entscheiden, ob eine Klarstellung, Beschränkung oder Teilrücknahme erforderlich ist. Eine solche Verfahrenshandlung wird hier noch nicht erklärt. Soweit bereits ein Streitwertbeschluss vorliegt, bitte ich nicht darum, diese Anfrage automatisch als Ersatz für einen fristgebundenen Rechtsbehelf zu behandeln. Ein gegebenenfalls erforderlicher Rechtsbehelf wird gesondert geprüft.</w:t>
      </w:r>
    </w:p>
    <w:p>
      <w:r>
        <w:t>{Ort, Datum, Unterschrift}</w:t>
      </w:r>
    </w:p>
    <w:p>
      <w:pPr>
        <w:pStyle w:val="Heading1"/>
      </w:pPr>
      <w:r>
        <w:t>Prüfvermerk vor einer tatsächlichen Änderung</w:t>
      </w:r>
    </w:p>
    <w:p>
      <w:r>
        <w:t>Vollständige frühere Anträge einschließlich der Schlussanträge der langen Klageschrift lesen. Die Überschrift Deckblatt ist kein verlässlicher Hinweis, dass nur dort Sachanträge stehen. Datum, Zustellung und Anfechtbarkeit jedes Streitwertbeschlusses dokumentieren. Eine Streitwertbeschwerde nach § 68 GKG, eine andere kostenrechtliche Erinnerung und eine Rücknahme des Sachbegehrens sind verschiedene Handlungen mit unterschiedlichen Voraussetzungen.</w:t>
      </w:r>
    </w:p>
    <w:p>
      <w:r>
        <w:t>Eine Teilrücknahme kann eigene Kostenfolgen nach § 155 Abs. 2 VwGO haben und macht bereits entstandene Gebühren nicht automatisch ungeschehen. Ob eine Gebührenermäßigung greift, hängt vom tatsächlichen Verfahrensstand und dem Kostenverzeichnis ab. Keine pauschale Empfehlung an alle Nutzer, einen Feststellungsantrag rückwirkend nur Beweisantrag zu nennen.</w:t>
      </w:r>
    </w:p>
    <w:p>
      <w:r>
        <w:t>Rechtsquellen: R03, insbesondere §§ 86, 88, 155, 162 VwGO; R04-R06; N06-N09. Dieses Modul enthält keine individuelle Streitwertbeschwerde mit geprüfter Frist.</w:t>
      </w:r>
    </w:p>
    <w:sectPr w:rsidR="00FC693F" w:rsidRPr="0006063C" w:rsidSect="00034616">
      <w:headerReference w:type="default" r:id="rId9"/>
      <w:footerReference w:type="default" r:id="rId10"/>
      <w:pgSz w:w="11906" w:h="16838"/>
      <w:pgMar w:top="1191" w:right="1304" w:bottom="1134" w:left="1304"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Liberation Sans" w:hAnsi="Liberation Sans"/>
        <w:sz w:val="16"/>
      </w:rPr>
      <w:t xml:space="preserve">A09 | 3.0 | 03.10.2026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rFonts w:ascii="Liberation Sans" w:hAnsi="Liberation Sans"/>
        <w:color w:val="5B6572"/>
        <w:sz w:val="16"/>
      </w:rPr>
      <w:t>BEITRAGSSTOPPER / PROJEKT 51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69" w:lineRule="auto"/>
    </w:pPr>
    <w:rPr>
      <w:rFonts w:ascii="Liberation Serif" w:hAnsi="Liberation Serif"/>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Liberation Sans" w:hAnsi="Liberation Sans"/>
      <w:b/>
      <w:bCs/>
      <w:color w:val="243647"/>
      <w:sz w:val="28"/>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Liberation Sans" w:hAnsi="Liberation Sans"/>
      <w:b/>
      <w:bCs/>
      <w:color w:val="243647"/>
      <w:sz w:val="2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Liberation Sans" w:hAnsi="Liberation Sans"/>
      <w:b/>
      <w:bCs/>
      <w:color w:val="243647"/>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0"/>
      <w:contextualSpacing/>
    </w:pPr>
    <w:rPr>
      <w:rFonts w:asciiTheme="majorHAnsi" w:eastAsiaTheme="majorEastAsia" w:hAnsiTheme="majorHAnsi" w:cstheme="majorBidi" w:ascii="Liberation Sans" w:hAnsi="Liberation Sans"/>
      <w:b/>
      <w:color w:val="243647"/>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80"/>
    </w:pPr>
    <w:rPr>
      <w:rFonts w:asciiTheme="majorHAnsi" w:eastAsiaTheme="majorEastAsia" w:hAnsiTheme="majorHAnsi" w:cstheme="majorBidi" w:ascii="Liberation Sans" w:hAnsi="Liberation Sans"/>
      <w:i/>
      <w:iCs/>
      <w:color w:val="596572"/>
      <w:spacing w:val="15"/>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A09 | Beitragsstopper / Projekt 51</dc:title>
  <dc:subject>Modulare Arbeitsfassung; individuelle rechtliche und fachliche Freigabe erforderlich</dc:subject>
  <dc:creator>Freiheitskanzlei - Arbeitsunterlagen</dc:creator>
  <cp:keywords/>
  <dc:description>generated by python-docx</dc:description>
  <cp:lastModifiedBy/>
  <cp:revision>1</cp:revision>
  <dcterms:created xsi:type="dcterms:W3CDTF">2013-12-23T23:15:00Z</dcterms:created>
  <dcterms:modified xsi:type="dcterms:W3CDTF">2013-12-23T23:15:00Z</dcterms:modified>
  <cp:category/>
</cp:coreProperties>
</file>