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A06  |  Fallblatt und beweisbezogene Dokumentation</w:t>
      </w:r>
    </w:p>
    <w:p>
      <w:pPr>
        <w:pStyle w:val="Title"/>
      </w:pPr>
      <w:r>
        <w:t>Individueller Sachverhalt und Anlagen</w:t>
      </w:r>
    </w:p>
    <w:p>
      <w:pPr>
        <w:pStyle w:val="Subtitle"/>
      </w:pPr>
      <w:r>
        <w:t>Ohne dieses ausgefüllte Modul ist A03 keine individualisierte Klagebegründung</w:t>
      </w:r>
    </w:p>
    <w:p>
      <w:pPr>
        <w:pStyle w:val="Heading1"/>
      </w:pPr>
      <w:r>
        <w:t>F.1 Bescheid, Frist und Streitgegenstand</w:t>
      </w:r>
    </w:p>
    <w:p>
      <w:r>
        <w:t>Klägerseite / Anschrift: {Angaben}. Gericht / Aktenzeichen: {Angaben}. Beklagte / Vertretung / Anschrift: {Angaben}. Wohnsitz bei Klageerhebung und etwaige weitere Wohnsitze: {Angaben}. Zuständigkeitsnorm mit begründeter Variante: {Angaben}.</w:t>
      </w:r>
    </w:p>
    <w:p>
      <w:r>
        <w:t>Je Bescheid: {Datum}; {Betrag getrennt nach Beitrag/Nebenforderung}; {Abrechnungszeitraum}; {tatsächlicher Zugang}; {Nachweis}; {Widerspruch mit Zugangsnachweis}; {Widerspruchsbescheid und Zustellung}; {vollständige Belehrung}; {Klageeingang}. Nicht bekannte Daten als unbekannt kennzeichnen, niemals aus Dateinamen oder typischen Postlaufzeiten erfinden.</w:t>
      </w:r>
    </w:p>
    <w:p>
      <w:r>
        <w:t>Bisherige oder parallele Verfahren: {Gericht, Aktenzeichen, Gegenstand, Entscheidung, Zustellung, Rechtsmittel, Rechtskraft soweit verifiziert}. Identität mit dem jetzt angegriffenen Bescheid: {ja/nein/ungeklärt und Begründung}. Noch laufende gerichtliche Frist: {Datum und Originalschreiben}. Eigenständige individuelle Bescheidfehler außerhalb der Programmrüge: {konkrete Tatsache und Beleg; sonst keine}.</w:t>
      </w:r>
    </w:p>
    <w:p>
      <w:pPr>
        <w:pStyle w:val="Heading1"/>
      </w:pPr>
      <w:r>
        <w:t>F.2 Untersuchungsfenster und Rechtsfassung</w:t>
      </w:r>
    </w:p>
    <w:p>
      <w:r>
        <w:t>Abrechnungsende: {Datum}. Mindestens zweijähriges Fenster: {von/bis}. Begründung bei mehreren oder längeren Abrechnungsperioden: {Angaben}. Für diese Zeit einschlägige Landesfassung RBStV/MStV/RStV: {amtliche Fundstelle und Geltungsdatum}. Vergleichsdaten, die außerhalb liegen: {gesondert benennen}. Welche Daten liegen innerhalb des streitbezogenen Fensters tatsächlich vor? {Antwort}.</w:t>
      </w:r>
    </w:p>
    <w:p>
      <w:pPr>
        <w:pStyle w:val="Heading1"/>
      </w:pPr>
      <w:r>
        <w:t>F.3 Pro Beleg ein Tatsachenblatt</w:t>
      </w:r>
    </w:p>
    <w:p>
      <w:r/>
      <w:r>
        <w:rPr>
          <w:b/>
        </w:rPr>
        <w:t>Belegkennung:</w:t>
      </w:r>
      <w:r>
        <w:t xml:space="preserve"> {T001 usw.}. </w:t>
      </w:r>
      <w:r>
        <w:rPr>
          <w:b/>
        </w:rPr>
        <w:t>Originalquelle und Rechte:</w:t>
      </w:r>
      <w:r>
        <w:t xml:space="preserve"> {Datei/URL, Urheber, Zugang, Nutzungsumfang}. </w:t>
      </w:r>
      <w:r>
        <w:rPr>
          <w:b/>
        </w:rPr>
        <w:t>Angebot:</w:t>
      </w:r>
      <w:r>
        <w:t xml:space="preserve"> {Anstalt, Programm, Medium, Format}. </w:t>
      </w:r>
      <w:r>
        <w:rPr>
          <w:b/>
        </w:rPr>
        <w:t>Datum und Fundstelle:</w:t>
      </w:r>
      <w:r>
        <w:t xml:space="preserve"> {Sendetag, Zeit, Minute/Seite}. </w:t>
      </w:r>
      <w:r>
        <w:rPr>
          <w:b/>
        </w:rPr>
        <w:t>Wörtlich beobachteter Inhalt:</w:t>
      </w:r>
      <w:r>
        <w:t xml:space="preserve"> {kurz und kontextwahrend}. </w:t>
      </w:r>
      <w:r>
        <w:rPr>
          <w:b/>
        </w:rPr>
        <w:t>Behauptete Tatsache:</w:t>
      </w:r>
      <w:r>
        <w:t xml:space="preserve"> {beobachtbare Aussage, nicht nur rechtliche Wertung}. </w:t>
      </w:r>
      <w:r>
        <w:rPr>
          <w:b/>
        </w:rPr>
        <w:t>Verbindung zum behaupteten Muster:</w:t>
      </w:r>
      <w:r>
        <w:t xml:space="preserve"> {Mechanismus}. </w:t>
      </w:r>
      <w:r>
        <w:rPr>
          <w:b/>
        </w:rPr>
        <w:t>Auswahlregel:</w:t>
      </w:r>
      <w:r>
        <w:t xml:space="preserve"> {warum gerade dieser Beleg}. </w:t>
      </w:r>
      <w:r>
        <w:rPr>
          <w:b/>
        </w:rPr>
        <w:t>Vergleich und Gegenbeispiel:</w:t>
      </w:r>
      <w:r>
        <w:t xml:space="preserve"> {auch entlastende Inhalte}. </w:t>
      </w:r>
      <w:r>
        <w:rPr>
          <w:b/>
        </w:rPr>
        <w:t>Grenzen:</w:t>
      </w:r>
      <w:r>
        <w:t xml:space="preserve"> {Zeit, Genre, unvollständiger Inhalt, fehlender Kontext}. </w:t>
      </w:r>
      <w:r>
        <w:rPr>
          <w:b/>
        </w:rPr>
        <w:t>Technische Sicherung:</w:t>
      </w:r>
      <w:r>
        <w:t xml:space="preserve"> {Dateiname, Abrufdatum, Hash falls berechnet}. </w:t>
      </w:r>
      <w:r>
        <w:rPr>
          <w:b/>
        </w:rPr>
        <w:t>Prüfung durch:</w:t>
      </w:r>
      <w:r>
        <w:t xml:space="preserve"> {Name/Datum}.</w:t>
      </w:r>
    </w:p>
    <w:p>
      <w:r>
        <w:t>Für jeden tatsächlich verwendeten Beleg ist dieses Blatt zu vervielfältigen. Eine bloße Linkliste ohne konkrete Tatsachenbehauptung und gesicherten Inhalt genügt für die behauptete Schlussfolgerung nicht. Eine Behauptung über ausgelassene Berichterstattung muss zusätzlich Suchraum, Suchbegriffe, Zeitraum und Abdeckungsgrenzen ausweisen.</w:t>
      </w:r>
    </w:p>
    <w:p>
      <w:pPr>
        <w:pStyle w:val="Heading1"/>
      </w:pPr>
      <w:r>
        <w:t>F.4 Prüffelder der bisherigen thematischen Anlagen</w:t>
      </w:r>
    </w:p>
    <w:tbl>
      <w:tblPr>
        <w:tblW w:type="auto" w:w="0"/>
        <w:jc w:val="center"/>
        <w:tblLayout w:type="fixed"/>
        <w:tblLook w:firstColumn="1" w:firstRow="1" w:lastColumn="0" w:lastRow="0" w:noHBand="0" w:noVBand="1" w:val="04A0"/>
      </w:tblPr>
      <w:tblGrid>
        <w:gridCol w:w="1928"/>
        <w:gridCol w:w="7483"/>
      </w:tblGrid>
      <w:tr>
        <w:trPr>
          <w:tblHeader/>
          <w:tblHeader/>
          <w:tblHeader/>
        </w:trPr>
        <w:tc>
          <w:tcPr>
            <w:tcW w:type="dxa" w:w="1928"/>
            <w:shd w:fill="E9EDF0"/>
            <w:vAlign w:val="center"/>
            <w:tcMar>
              <w:top w:w="70" w:type="dxa"/>
              <w:bottom w:w="70" w:type="dxa"/>
              <w:left w:w="90" w:type="dxa"/>
              <w:right w:w="90" w:type="dxa"/>
            </w:tcMar>
            <w:tcMar>
              <w:top w:w="85" w:type="dxa"/>
              <w:bottom w:w="85" w:type="dxa"/>
              <w:left w:w="85" w:type="dxa"/>
              <w:right w:w="85" w:type="dxa"/>
            </w:tcMar>
            <w:shd w:fill="EDF1F4"/>
            <w:tcMar>
              <w:top w:w="85" w:type="dxa"/>
              <w:bottom w:w="85" w:type="dxa"/>
              <w:left w:w="85" w:type="dxa"/>
              <w:right w:w="85" w:type="dxa"/>
            </w:tcMar>
            <w:shd w:fill="EDF1F4"/>
          </w:tcPr>
          <w:p>
            <w:pPr>
              <w:spacing w:after="80" w:before="60" w:line="259" w:lineRule="auto"/>
            </w:pPr>
            <w:r>
              <w:rPr>
                <w:b/>
                <w:sz w:val="20"/>
              </w:rPr>
              <w:t>Themenfeld</w:t>
            </w:r>
          </w:p>
        </w:tc>
        <w:tc>
          <w:tcPr>
            <w:tcW w:type="dxa" w:w="7483"/>
            <w:shd w:fill="E9EDF0"/>
            <w:vAlign w:val="center"/>
            <w:tcMar>
              <w:top w:w="70" w:type="dxa"/>
              <w:bottom w:w="70" w:type="dxa"/>
              <w:left w:w="90" w:type="dxa"/>
              <w:right w:w="90" w:type="dxa"/>
            </w:tcMar>
            <w:tcMar>
              <w:top w:w="85" w:type="dxa"/>
              <w:bottom w:w="85" w:type="dxa"/>
              <w:left w:w="85" w:type="dxa"/>
              <w:right w:w="85" w:type="dxa"/>
            </w:tcMar>
            <w:shd w:fill="EDF1F4"/>
            <w:tcMar>
              <w:top w:w="85" w:type="dxa"/>
              <w:bottom w:w="85" w:type="dxa"/>
              <w:left w:w="85" w:type="dxa"/>
              <w:right w:w="85" w:type="dxa"/>
            </w:tcMar>
            <w:shd w:fill="EDF1F4"/>
          </w:tcPr>
          <w:p>
            <w:pPr>
              <w:spacing w:after="80" w:before="60" w:line="259" w:lineRule="auto"/>
            </w:pPr>
            <w:r>
              <w:rPr>
                <w:b/>
                <w:sz w:val="20"/>
              </w:rPr>
              <w:t>Erforderliche Konkretisierung</w:t>
            </w:r>
          </w:p>
        </w:tc>
      </w:tr>
      <w:tr>
        <w:trPr/>
        <w:tc>
          <w:tcPr>
            <w:tcW w:type="dxa" w:w="1928"/>
            <w:vAlign w:val="center"/>
            <w:tcMar>
              <w:top w:w="70" w:type="dxa"/>
              <w:bottom w:w="70" w:type="dxa"/>
              <w:left w:w="90" w:type="dxa"/>
              <w:right w:w="90" w:type="dxa"/>
            </w:tcMa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Corona</w:t>
            </w:r>
          </w:p>
        </w:tc>
        <w:tc>
          <w:tcPr>
            <w:tcW w:type="dxa" w:w="7483"/>
            <w:vAlign w:val="center"/>
            <w:tcMar>
              <w:top w:w="70" w:type="dxa"/>
              <w:bottom w:w="70" w:type="dxa"/>
              <w:left w:w="90" w:type="dxa"/>
              <w:right w:w="90" w:type="dxa"/>
            </w:tcMa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Datierte Originalinhalte und damals verfügbare Quellen; Müller nur im tatsächlichen historischen Umfang; Zahlenfrage vorher klären.</w:t>
            </w:r>
          </w:p>
        </w:tc>
      </w:tr>
      <w:tr>
        <w:trPr/>
        <w:tc>
          <w:tcPr>
            <w:tcW w:type="dxa" w:w="1928"/>
            <w:vAlign w:val="center"/>
            <w:tcMar>
              <w:top w:w="70" w:type="dxa"/>
              <w:bottom w:w="70" w:type="dxa"/>
              <w:left w:w="90" w:type="dxa"/>
              <w:right w:w="90" w:type="dxa"/>
            </w:tcMa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Ukraine / Nord Stream</w:t>
            </w:r>
          </w:p>
        </w:tc>
        <w:tc>
          <w:tcPr>
            <w:tcW w:type="dxa" w:w="7483"/>
            <w:vAlign w:val="center"/>
            <w:tcMar>
              <w:top w:w="70" w:type="dxa"/>
              <w:bottom w:w="70" w:type="dxa"/>
              <w:left w:w="90" w:type="dxa"/>
              <w:right w:w="90" w:type="dxa"/>
            </w:tcMa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Ereigniszeitpunkt, Quelle und späterer Kenntnisstand trennen; Berichterstattung, Kommentar und Satire nicht gleich kodieren.</w:t>
            </w:r>
          </w:p>
        </w:tc>
      </w:tr>
      <w:tr>
        <w:trPr/>
        <w:tc>
          <w:tcPr>
            <w:tcW w:type="dxa" w:w="1928"/>
            <w:vAlign w:val="center"/>
            <w:tcMar>
              <w:top w:w="70" w:type="dxa"/>
              <w:bottom w:w="70" w:type="dxa"/>
              <w:left w:w="90" w:type="dxa"/>
              <w:right w:w="90" w:type="dxa"/>
            </w:tcMa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UNO / WHO</w:t>
            </w:r>
          </w:p>
        </w:tc>
        <w:tc>
          <w:tcPr>
            <w:tcW w:type="dxa" w:w="7483"/>
            <w:vAlign w:val="center"/>
            <w:tcMar>
              <w:top w:w="70" w:type="dxa"/>
              <w:bottom w:w="70" w:type="dxa"/>
              <w:left w:w="90" w:type="dxa"/>
              <w:right w:w="90" w:type="dxa"/>
            </w:tcMa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Konkrete politische oder fachliche Position benennen; bloße Institutionenkritik ist kein Nachweis ihrer systematischen Ausblendung.</w:t>
            </w:r>
          </w:p>
        </w:tc>
      </w:tr>
      <w:tr>
        <w:trPr/>
        <w:tc>
          <w:tcPr>
            <w:tcW w:type="dxa" w:w="1928"/>
            <w:vAlign w:val="center"/>
            <w:tcMar>
              <w:top w:w="70" w:type="dxa"/>
              <w:bottom w:w="70" w:type="dxa"/>
              <w:left w:w="90" w:type="dxa"/>
              <w:right w:w="90" w:type="dxa"/>
            </w:tcMa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Kinderangebote</w:t>
            </w:r>
          </w:p>
        </w:tc>
        <w:tc>
          <w:tcPr>
            <w:tcW w:type="dxa" w:w="7483"/>
            <w:vAlign w:val="center"/>
            <w:tcMar>
              <w:top w:w="70" w:type="dxa"/>
              <w:bottom w:w="70" w:type="dxa"/>
              <w:left w:w="90" w:type="dxa"/>
              <w:right w:w="90" w:type="dxa"/>
            </w:tcMa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Format, Alterseignung, Originalinhalt, Kontext und konkrete Bewertungsgrundlage; nicht nur pauschal Indoktrination behaupten.</w:t>
            </w:r>
          </w:p>
        </w:tc>
      </w:tr>
      <w:tr>
        <w:trPr/>
        <w:tc>
          <w:tcPr>
            <w:tcW w:type="dxa" w:w="1928"/>
            <w:vAlign w:val="center"/>
            <w:tcMar>
              <w:top w:w="70" w:type="dxa"/>
              <w:bottom w:w="70" w:type="dxa"/>
              <w:left w:w="90" w:type="dxa"/>
              <w:right w:w="90" w:type="dxa"/>
            </w:tcMa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Politiknähe / Unparteilichkeit</w:t>
            </w:r>
          </w:p>
        </w:tc>
        <w:tc>
          <w:tcPr>
            <w:tcW w:type="dxa" w:w="7483"/>
            <w:vAlign w:val="center"/>
            <w:tcMar>
              <w:top w:w="70" w:type="dxa"/>
              <w:bottom w:w="70" w:type="dxa"/>
              <w:left w:w="90" w:type="dxa"/>
              <w:right w:w="90" w:type="dxa"/>
            </w:tcMa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Personelle Verbindungen nur als belegter Kontext; nicht automatisch Beweis eines konkreten Programmfehlers.</w:t>
            </w:r>
          </w:p>
        </w:tc>
      </w:tr>
      <w:tr>
        <w:trPr/>
        <w:tc>
          <w:tcPr>
            <w:tcW w:type="dxa" w:w="1928"/>
            <w:vAlign w:val="center"/>
            <w:tcMar>
              <w:top w:w="70" w:type="dxa"/>
              <w:bottom w:w="70" w:type="dxa"/>
              <w:left w:w="90" w:type="dxa"/>
              <w:right w:w="90" w:type="dxa"/>
            </w:tcMa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Talkshows / Parteibeteiligung</w:t>
            </w:r>
          </w:p>
        </w:tc>
        <w:tc>
          <w:tcPr>
            <w:tcW w:type="dxa" w:w="7483"/>
            <w:vAlign w:val="center"/>
            <w:tcMar>
              <w:top w:w="70" w:type="dxa"/>
              <w:bottom w:w="70" w:type="dxa"/>
              <w:left w:w="90" w:type="dxa"/>
              <w:right w:w="90" w:type="dxa"/>
            </w:tcMa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Einladungen, tatsächliche Teilnahme und vertretene Positionen unterscheiden; Ereignislage und Untersuchungsmenge offenlegen.</w:t>
            </w:r>
          </w:p>
        </w:tc>
      </w:tr>
      <w:tr>
        <w:trPr/>
        <w:tc>
          <w:tcPr>
            <w:tcW w:type="dxa" w:w="1928"/>
            <w:vAlign w:val="center"/>
            <w:tcMar>
              <w:top w:w="70" w:type="dxa"/>
              <w:bottom w:w="70" w:type="dxa"/>
              <w:left w:w="90" w:type="dxa"/>
              <w:right w:w="90" w:type="dxa"/>
            </w:tcMa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Satire / einzelne Akteure</w:t>
            </w:r>
          </w:p>
        </w:tc>
        <w:tc>
          <w:tcPr>
            <w:tcW w:type="dxa" w:w="7483"/>
            <w:vAlign w:val="center"/>
            <w:tcMar>
              <w:top w:w="70" w:type="dxa"/>
              <w:bottom w:w="70" w:type="dxa"/>
              <w:left w:w="90" w:type="dxa"/>
              <w:right w:w="90" w:type="dxa"/>
            </w:tcMa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Einzelperson und Darstellungsform von langfristigem Gesamtangebot trennen; keine automatische Systemzurechnung.</w:t>
            </w:r>
          </w:p>
        </w:tc>
      </w:tr>
      <w:tr>
        <w:trPr/>
        <w:tc>
          <w:tcPr>
            <w:tcW w:type="dxa" w:w="1928"/>
            <w:vAlign w:val="center"/>
            <w:tcMar>
              <w:top w:w="70" w:type="dxa"/>
              <w:bottom w:w="70" w:type="dxa"/>
              <w:left w:w="90" w:type="dxa"/>
              <w:right w:w="90" w:type="dxa"/>
            </w:tcMa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Mitarbeitermanifest</w:t>
            </w:r>
          </w:p>
        </w:tc>
        <w:tc>
          <w:tcPr>
            <w:tcW w:type="dxa" w:w="7483"/>
            <w:vAlign w:val="center"/>
            <w:tcMar>
              <w:top w:w="70" w:type="dxa"/>
              <w:bottom w:w="70" w:type="dxa"/>
              <w:left w:w="90" w:type="dxa"/>
              <w:right w:w="90" w:type="dxa"/>
            </w:tcMa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Urheberschaft, Datum und Aussagegehalt sichern; Wahrnehmungen nicht in unabhängige quantitative Inhaltsbefunde umdeuten.</w:t>
            </w:r>
          </w:p>
        </w:tc>
      </w:tr>
    </w:tbl>
    <w:p/>
    <w:p>
      <w:pPr>
        <w:pStyle w:val="Heading1"/>
      </w:pPr>
      <w:r>
        <w:t>F.5 Zugangsregister</w:t>
      </w:r>
    </w:p>
    <w:p>
      <w:r>
        <w:t>Je Ersuchen: {Z001 usw.}; {tatsächlicher Rechtsträger}; {bezeichneter Bestand}; {Zeitraum}; {Zugangsform}; {Rechtsgrundlage oder Forschungsregel}; {Versand und Zugang}; {Antwort samt Datum und Volltext}; {teilweise bewilligte Inhalte}; {Ablehnungsgrund}; {milderes Angebot}; {tatsächlicher Nutzungsversuch}; {offene Restlücke}; {Frist/Rechtsbehelf nach konkreter Belehrung}; {Verknüpfung mit Tatsachenblatt T...}.</w:t>
      </w:r>
    </w:p>
    <w:p>
      <w:r>
        <w:t>Ergebnisstatus nur aus folgender begründeter Auswahl: Zugang erhalten; teilweise Zugang; Zugang unter Bedingungen; ausdrücklich abgelehnt; kein Bestand; anderer Datenhalter; noch keine Antwort; Antwort inhaltlich unklar. Jede Einstufung braucht einen Beleg. Bedingungen oder fehlender Bestand sind nicht ohne Weiteres rechtswidrige Verweigerung.</w:t>
      </w:r>
    </w:p>
    <w:p>
      <w:pPr>
        <w:pStyle w:val="Heading1"/>
      </w:pPr>
      <w:r>
        <w:t>F.6 Originalanlagen und modulare Anlagen</w:t>
      </w:r>
    </w:p>
    <w:tbl>
      <w:tblPr>
        <w:tblW w:type="auto" w:w="0"/>
        <w:jc w:val="center"/>
        <w:tblLayout w:type="fixed"/>
        <w:tblLook w:firstColumn="1" w:firstRow="1" w:lastColumn="0" w:lastRow="0" w:noHBand="0" w:noVBand="1" w:val="04A0"/>
      </w:tblPr>
      <w:tblGrid>
        <w:gridCol w:w="850"/>
        <w:gridCol w:w="8561"/>
      </w:tblGrid>
      <w:tr>
        <w:trPr>
          <w:tblHeader/>
          <w:tblHeader/>
          <w:tblHeader/>
        </w:trPr>
        <w:tc>
          <w:tcPr>
            <w:tcW w:type="dxa" w:w="850"/>
            <w:shd w:fill="E9EDF0"/>
            <w:vAlign w:val="center"/>
            <w:tcMar>
              <w:top w:w="70" w:type="dxa"/>
              <w:bottom w:w="70" w:type="dxa"/>
              <w:left w:w="90" w:type="dxa"/>
              <w:right w:w="90" w:type="dxa"/>
            </w:tcMar>
            <w:tcMar>
              <w:top w:w="85" w:type="dxa"/>
              <w:bottom w:w="85" w:type="dxa"/>
              <w:left w:w="85" w:type="dxa"/>
              <w:right w:w="85" w:type="dxa"/>
            </w:tcMar>
            <w:shd w:fill="EDF1F4"/>
            <w:tcMar>
              <w:top w:w="85" w:type="dxa"/>
              <w:bottom w:w="85" w:type="dxa"/>
              <w:left w:w="85" w:type="dxa"/>
              <w:right w:w="85" w:type="dxa"/>
            </w:tcMar>
            <w:shd w:fill="EDF1F4"/>
          </w:tcPr>
          <w:p>
            <w:pPr>
              <w:spacing w:after="80" w:before="60" w:line="259" w:lineRule="auto"/>
            </w:pPr>
            <w:r>
              <w:rPr>
                <w:b/>
                <w:sz w:val="20"/>
              </w:rPr>
              <w:t>Nr.</w:t>
            </w:r>
          </w:p>
        </w:tc>
        <w:tc>
          <w:tcPr>
            <w:tcW w:type="dxa" w:w="8561"/>
            <w:shd w:fill="E9EDF0"/>
            <w:vAlign w:val="center"/>
            <w:tcMar>
              <w:top w:w="70" w:type="dxa"/>
              <w:bottom w:w="70" w:type="dxa"/>
              <w:left w:w="90" w:type="dxa"/>
              <w:right w:w="90" w:type="dxa"/>
            </w:tcMar>
            <w:tcMar>
              <w:top w:w="85" w:type="dxa"/>
              <w:bottom w:w="85" w:type="dxa"/>
              <w:left w:w="85" w:type="dxa"/>
              <w:right w:w="85" w:type="dxa"/>
            </w:tcMar>
            <w:shd w:fill="EDF1F4"/>
            <w:tcMar>
              <w:top w:w="85" w:type="dxa"/>
              <w:bottom w:w="85" w:type="dxa"/>
              <w:left w:w="85" w:type="dxa"/>
              <w:right w:w="85" w:type="dxa"/>
            </w:tcMar>
            <w:shd w:fill="EDF1F4"/>
          </w:tcPr>
          <w:p>
            <w:pPr>
              <w:spacing w:after="80" w:before="60" w:line="259" w:lineRule="auto"/>
            </w:pPr>
            <w:r>
              <w:rPr>
                <w:b/>
                <w:sz w:val="20"/>
              </w:rPr>
              <w:t>Inhalt / tatsächlicher Bestand</w:t>
            </w:r>
          </w:p>
        </w:tc>
      </w:tr>
      <w:tr>
        <w:trPr/>
        <w:tc>
          <w:tcPr>
            <w:tcW w:type="dxa" w:w="850"/>
            <w:vAlign w:val="center"/>
            <w:tcMar>
              <w:top w:w="70" w:type="dxa"/>
              <w:bottom w:w="70" w:type="dxa"/>
              <w:left w:w="90" w:type="dxa"/>
              <w:right w:w="90" w:type="dxa"/>
            </w:tcMa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K1</w:t>
            </w:r>
          </w:p>
        </w:tc>
        <w:tc>
          <w:tcPr>
            <w:tcW w:type="dxa" w:w="8561"/>
            <w:vAlign w:val="center"/>
            <w:tcMar>
              <w:top w:w="70" w:type="dxa"/>
              <w:bottom w:w="70" w:type="dxa"/>
              <w:left w:w="90" w:type="dxa"/>
              <w:right w:w="90" w:type="dxa"/>
            </w:tcMa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Festsetzungsbescheid(e), vollständig mit Beitragszeiträumen und Nebenforderungen.</w:t>
            </w:r>
          </w:p>
        </w:tc>
      </w:tr>
      <w:tr>
        <w:trPr/>
        <w:tc>
          <w:tcPr>
            <w:tcW w:type="dxa" w:w="850"/>
            <w:vAlign w:val="center"/>
            <w:tcMar>
              <w:top w:w="70" w:type="dxa"/>
              <w:bottom w:w="70" w:type="dxa"/>
              <w:left w:w="90" w:type="dxa"/>
              <w:right w:w="90" w:type="dxa"/>
            </w:tcMa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K2</w:t>
            </w:r>
          </w:p>
        </w:tc>
        <w:tc>
          <w:tcPr>
            <w:tcW w:type="dxa" w:w="8561"/>
            <w:vAlign w:val="center"/>
            <w:tcMar>
              <w:top w:w="70" w:type="dxa"/>
              <w:bottom w:w="70" w:type="dxa"/>
              <w:left w:w="90" w:type="dxa"/>
              <w:right w:w="90" w:type="dxa"/>
            </w:tcMa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Widerspruch, vollständiger Versand- und Eingangsnachweis, soweit Vorverfahren erforderlich.</w:t>
            </w:r>
          </w:p>
        </w:tc>
      </w:tr>
      <w:tr>
        <w:trPr/>
        <w:tc>
          <w:tcPr>
            <w:tcW w:type="dxa" w:w="850"/>
            <w:vAlign w:val="center"/>
            <w:tcMar>
              <w:top w:w="70" w:type="dxa"/>
              <w:bottom w:w="70" w:type="dxa"/>
              <w:left w:w="90" w:type="dxa"/>
              <w:right w:w="90" w:type="dxa"/>
            </w:tcMa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K3</w:t>
            </w:r>
          </w:p>
        </w:tc>
        <w:tc>
          <w:tcPr>
            <w:tcW w:type="dxa" w:w="8561"/>
            <w:vAlign w:val="center"/>
            <w:tcMar>
              <w:top w:w="70" w:type="dxa"/>
              <w:bottom w:w="70" w:type="dxa"/>
              <w:left w:w="90" w:type="dxa"/>
              <w:right w:w="90" w:type="dxa"/>
            </w:tcMa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Widerspruchsbescheid, vollständige Belehrung, Zustellungsumschlag/Nachweis.</w:t>
            </w:r>
          </w:p>
        </w:tc>
      </w:tr>
      <w:tr>
        <w:trPr/>
        <w:tc>
          <w:tcPr>
            <w:tcW w:type="dxa" w:w="850"/>
            <w:vAlign w:val="center"/>
            <w:tcMar>
              <w:top w:w="70" w:type="dxa"/>
              <w:bottom w:w="70" w:type="dxa"/>
              <w:left w:w="90" w:type="dxa"/>
              <w:right w:w="90" w:type="dxa"/>
            </w:tcMa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K4</w:t>
            </w:r>
          </w:p>
        </w:tc>
        <w:tc>
          <w:tcPr>
            <w:tcW w:type="dxa" w:w="8561"/>
            <w:vAlign w:val="center"/>
            <w:tcMar>
              <w:top w:w="70" w:type="dxa"/>
              <w:bottom w:w="70" w:type="dxa"/>
              <w:left w:w="90" w:type="dxa"/>
              <w:right w:w="90" w:type="dxa"/>
            </w:tcMa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Bisherige Gerichtsentscheidungen und maßgebliche Schriftsätze, nur soweit für diesen Fall einschlägig.</w:t>
            </w:r>
          </w:p>
        </w:tc>
      </w:tr>
      <w:tr>
        <w:trPr/>
        <w:tc>
          <w:tcPr>
            <w:tcW w:type="dxa" w:w="850"/>
            <w:vAlign w:val="center"/>
            <w:tcMar>
              <w:top w:w="70" w:type="dxa"/>
              <w:bottom w:w="70" w:type="dxa"/>
              <w:left w:w="90" w:type="dxa"/>
              <w:right w:w="90" w:type="dxa"/>
            </w:tcMa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K5</w:t>
            </w:r>
          </w:p>
        </w:tc>
        <w:tc>
          <w:tcPr>
            <w:tcW w:type="dxa" w:w="8561"/>
            <w:vAlign w:val="center"/>
            <w:tcMar>
              <w:top w:w="70" w:type="dxa"/>
              <w:bottom w:w="70" w:type="dxa"/>
              <w:left w:w="90" w:type="dxa"/>
              <w:right w:w="90" w:type="dxa"/>
            </w:tcMa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Tatsachenblätter T001 ff. mit Originalsendungsbelegen und tatsächlich verwendeten Studien.</w:t>
            </w:r>
          </w:p>
        </w:tc>
      </w:tr>
      <w:tr>
        <w:trPr/>
        <w:tc>
          <w:tcPr>
            <w:tcW w:type="dxa" w:w="850"/>
            <w:vAlign w:val="center"/>
            <w:tcMar>
              <w:top w:w="70" w:type="dxa"/>
              <w:bottom w:w="70" w:type="dxa"/>
              <w:left w:w="90" w:type="dxa"/>
              <w:right w:w="90" w:type="dxa"/>
            </w:tcMa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K6</w:t>
            </w:r>
          </w:p>
        </w:tc>
        <w:tc>
          <w:tcPr>
            <w:tcW w:type="dxa" w:w="8561"/>
            <w:vAlign w:val="center"/>
            <w:tcMar>
              <w:top w:w="70" w:type="dxa"/>
              <w:bottom w:w="70" w:type="dxa"/>
              <w:left w:w="90" w:type="dxa"/>
              <w:right w:w="90" w:type="dxa"/>
            </w:tcMa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Zugangsregister Z001 ff., Ersuchen, Empfangsbelege und vollständige Antworten.</w:t>
            </w:r>
          </w:p>
        </w:tc>
      </w:tr>
      <w:tr>
        <w:trPr/>
        <w:tc>
          <w:tcPr>
            <w:tcW w:type="dxa" w:w="850"/>
            <w:vAlign w:val="center"/>
            <w:tcMar>
              <w:top w:w="70" w:type="dxa"/>
              <w:bottom w:w="70" w:type="dxa"/>
              <w:left w:w="90" w:type="dxa"/>
              <w:right w:w="90" w:type="dxa"/>
            </w:tcMa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K7</w:t>
            </w:r>
          </w:p>
        </w:tc>
        <w:tc>
          <w:tcPr>
            <w:tcW w:type="dxa" w:w="8561"/>
            <w:vAlign w:val="center"/>
            <w:tcMar>
              <w:top w:w="70" w:type="dxa"/>
              <w:bottom w:w="70" w:type="dxa"/>
              <w:left w:w="90" w:type="dxa"/>
              <w:right w:w="90" w:type="dxa"/>
            </w:tcMa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Individuelle Programmbeschwerden samt Antworten, Gremienentscheidungen und Korrekturbelegen.</w:t>
            </w:r>
          </w:p>
        </w:tc>
      </w:tr>
      <w:tr>
        <w:trPr/>
        <w:tc>
          <w:tcPr>
            <w:tcW w:type="dxa" w:w="850"/>
            <w:vAlign w:val="center"/>
            <w:tcMar>
              <w:top w:w="70" w:type="dxa"/>
              <w:bottom w:w="70" w:type="dxa"/>
              <w:left w:w="90" w:type="dxa"/>
              <w:right w:w="90" w:type="dxa"/>
            </w:tcMa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K8</w:t>
            </w:r>
          </w:p>
        </w:tc>
        <w:tc>
          <w:tcPr>
            <w:tcW w:type="dxa" w:w="8561"/>
            <w:vAlign w:val="center"/>
            <w:tcMar>
              <w:top w:w="70" w:type="dxa"/>
              <w:bottom w:w="70" w:type="dxa"/>
              <w:left w:w="90" w:type="dxa"/>
              <w:right w:w="90" w:type="dxa"/>
            </w:tcMa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Tatsächlich vorhandene Datenexporte, Exporterklärung, Rechte- und Methodenbelege; keine nicht vorhandene CSV als beigefügt bezeichnen.</w:t>
            </w:r>
          </w:p>
        </w:tc>
      </w:tr>
      <w:tr>
        <w:trPr/>
        <w:tc>
          <w:tcPr>
            <w:tcW w:type="dxa" w:w="850"/>
            <w:vAlign w:val="center"/>
            <w:tcMar>
              <w:top w:w="70" w:type="dxa"/>
              <w:bottom w:w="70" w:type="dxa"/>
              <w:left w:w="90" w:type="dxa"/>
              <w:right w:w="90" w:type="dxa"/>
            </w:tcMa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K9</w:t>
            </w:r>
          </w:p>
        </w:tc>
        <w:tc>
          <w:tcPr>
            <w:tcW w:type="dxa" w:w="8561"/>
            <w:vAlign w:val="center"/>
            <w:tcMar>
              <w:top w:w="70" w:type="dxa"/>
              <w:bottom w:w="70" w:type="dxa"/>
              <w:left w:w="90" w:type="dxa"/>
              <w:right w:w="90" w:type="dxa"/>
            </w:tcMa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G01, verantwortete Fassung mit Datum; weitere alte Gutachten nur einzeln und unter ausdrücklicher Begrenzung ihrer Aussagen.</w:t>
            </w:r>
          </w:p>
        </w:tc>
      </w:tr>
      <w:tr>
        <w:trPr/>
        <w:tc>
          <w:tcPr>
            <w:tcW w:type="dxa" w:w="850"/>
            <w:vAlign w:val="center"/>
            <w:tcMar>
              <w:top w:w="70" w:type="dxa"/>
              <w:bottom w:w="70" w:type="dxa"/>
              <w:left w:w="90" w:type="dxa"/>
              <w:right w:w="90" w:type="dxa"/>
            </w:tcMa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K10</w:t>
            </w:r>
          </w:p>
        </w:tc>
        <w:tc>
          <w:tcPr>
            <w:tcW w:type="dxa" w:w="8561"/>
            <w:vAlign w:val="center"/>
            <w:tcMar>
              <w:top w:w="70" w:type="dxa"/>
              <w:bottom w:w="70" w:type="dxa"/>
              <w:left w:w="90" w:type="dxa"/>
              <w:right w:w="90" w:type="dxa"/>
            </w:tcMar>
            <w:tcMar>
              <w:top w:w="85" w:type="dxa"/>
              <w:bottom w:w="85" w:type="dxa"/>
              <w:left w:w="85" w:type="dxa"/>
              <w:right w:w="85" w:type="dxa"/>
            </w:tcMar>
            <w:tcMar>
              <w:top w:w="85" w:type="dxa"/>
              <w:bottom w:w="85" w:type="dxa"/>
              <w:left w:w="85" w:type="dxa"/>
              <w:right w:w="85" w:type="dxa"/>
            </w:tcMar>
          </w:tcPr>
          <w:p>
            <w:pPr>
              <w:spacing w:after="80" w:before="60" w:line="259" w:lineRule="auto"/>
            </w:pPr>
            <w:r>
              <w:rPr>
                <w:b w:val="0"/>
                <w:sz w:val="20"/>
              </w:rPr>
              <w:t>Wissenschaftliche Mitwirkungsbestätigung, konkret bezifferte Angebote, Methodik und gegebenenfalls Datenlückennachweis.</w:t>
            </w:r>
          </w:p>
        </w:tc>
      </w:tr>
    </w:tbl>
    <w:p/>
    <w:p>
      <w:pPr>
        <w:pStyle w:val="Heading1"/>
      </w:pPr>
      <w:r>
        <w:t>F.7 Freigabe und Versandkontrolle</w:t>
      </w:r>
    </w:p>
    <w:p>
      <w:r>
        <w:t>Alle Felder ausgefüllt oder unzutreffende Varianten entfernt: {Name/Datum}. Jedes Zitat am tatsächlichen Original geprüft: {Name/Datum}. Entscheidung über gewählte Beweisanträge: {Angabe}. A01 nennt die tatsächlichen Versionen und Seitenzahlen: {Bestätigung}. Unterschrift und Einreichungsweg: {Angabe}. Tatsächlicher Eingang bei Gericht: {Nachweis}. Fristenverwaltung nach Versand aktualisiert: {Angabe}.</w:t>
      </w:r>
    </w:p>
    <w:p>
      <w:pPr>
        <w:pStyle w:val="Heading1"/>
      </w:pPr>
      <w:r>
        <w:t>Zusätzfelder Version 3</w:t>
      </w:r>
    </w:p>
    <w:p>
      <w:r>
        <w:t>Je Festsetzungsbescheid: abgerechneter Zeitraum {von/bis}; Ende des Untersuchungsfensters {Datum}; Beginn {Datum}; erfasste Studie und tatsächliche Überdeckung {Quelle/Monate}; verbleibende nicht untersuchte Zeiten {Angabe}. Mehrere Bescheide nicht ohne Prüfung mit einem gemeinsamen Fenster versehen.</w:t>
      </w:r>
    </w:p>
    <w:p>
      <w:r>
        <w:t>Kostenstatus: alte tatsächliche Klageanträge {Fundstelle}; gerichtlicher Streitwertbeschluss {Datum/Zugang/Wert}; gegnerische anwaltliche Vertretung {belegt/unbekannt}; Kostenfestsetzung {vorhanden/offen}; eigenes Mandat {Datum/Umfang}; K01 ausgehändigt am {Datum}; keine stillschweigende Kostenübernahme.</w:t>
      </w:r>
    </w:p>
    <w:p>
      <w:r>
        <w:t>Originalgutachten: U01 {beigefügt/bereits bei Gericht/Fundstelle}; U02 {Angabe}; U03 {Angabe}; U04 {Angabe}; G03 zur aktuellen Einordnung {Seite}. Neue Quellen N02/N03 {Version/Datum/Beweisthema/Autorenbestätigung}. Datengrundlage selbst geprüft: {was/wie/durch wen}; nicht geprüft: {Liste}. P15 Zugangsnachweise {Kennungen}.</w:t>
      </w:r>
    </w:p>
    <w:sectPr w:rsidR="00FC693F" w:rsidRPr="0006063C" w:rsidSect="00034616">
      <w:headerReference w:type="default" r:id="rId9"/>
      <w:footerReference w:type="default" r:id="rId10"/>
      <w:pgSz w:w="11906" w:h="16838"/>
      <w:pgMar w:top="1191" w:right="1304" w:bottom="1134" w:left="130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sz w:val="16"/>
      </w:rPr>
      <w:t xml:space="preserve">A06 | 3.0 | 03.10.2026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rFonts w:ascii="Liberation Sans" w:hAnsi="Liberation Sans"/>
        <w:color w:val="5B6572"/>
        <w:sz w:val="16"/>
      </w:rPr>
      <w:t>BEITRAGSSTOPPER / PROJEKT 51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9" w:lineRule="auto"/>
    </w:pPr>
    <w:rPr>
      <w:rFonts w:ascii="Liberation Serif" w:hAnsi="Liberation Serif"/>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40"/>
      <w:outlineLvl w:val="0"/>
    </w:pPr>
    <w:rPr>
      <w:rFonts w:asciiTheme="majorHAnsi" w:eastAsiaTheme="majorEastAsia" w:hAnsiTheme="majorHAnsi" w:cstheme="majorBidi" w:ascii="Liberation Sans" w:hAnsi="Liberation Sans"/>
      <w:b/>
      <w:bCs/>
      <w:color w:val="243647"/>
      <w:sz w:val="28"/>
      <w:szCs w:val="28"/>
    </w:rPr>
  </w:style>
  <w:style w:type="paragraph" w:styleId="Heading2">
    <w:name w:val="heading 2"/>
    <w:basedOn w:val="Normal"/>
    <w:next w:val="Normal"/>
    <w:link w:val="Heading2Char"/>
    <w:uiPriority w:val="9"/>
    <w:unhideWhenUsed/>
    <w:qFormat/>
    <w:rsid w:val="00FC693F"/>
    <w:pPr>
      <w:keepNext/>
      <w:keepLines/>
      <w:widowControl/>
      <w:spacing w:before="240" w:after="140"/>
      <w:outlineLvl w:val="1"/>
    </w:pPr>
    <w:rPr>
      <w:rFonts w:asciiTheme="majorHAnsi" w:eastAsiaTheme="majorEastAsia" w:hAnsiTheme="majorHAnsi" w:cstheme="majorBidi" w:ascii="Liberation Sans" w:hAnsi="Liberation Sans"/>
      <w:b/>
      <w:bCs/>
      <w:color w:val="243647"/>
      <w:sz w:val="24"/>
      <w:szCs w:val="26"/>
    </w:rPr>
  </w:style>
  <w:style w:type="paragraph" w:styleId="Heading3">
    <w:name w:val="heading 3"/>
    <w:basedOn w:val="Normal"/>
    <w:next w:val="Normal"/>
    <w:link w:val="Heading3Char"/>
    <w:uiPriority w:val="9"/>
    <w:unhideWhenUsed/>
    <w:qFormat/>
    <w:rsid w:val="00FC693F"/>
    <w:pPr>
      <w:keepNext/>
      <w:keepLines/>
      <w:widowControl/>
      <w:spacing w:before="240" w:after="140"/>
      <w:outlineLvl w:val="2"/>
    </w:pPr>
    <w:rPr>
      <w:rFonts w:asciiTheme="majorHAnsi" w:eastAsiaTheme="majorEastAsia" w:hAnsiTheme="majorHAnsi" w:cstheme="majorBidi" w:ascii="Liberation Sans" w:hAnsi="Liberation Sans"/>
      <w:b/>
      <w:bCs/>
      <w:color w:val="2436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0"/>
      <w:contextualSpacing/>
    </w:pPr>
    <w:rPr>
      <w:rFonts w:asciiTheme="majorHAnsi" w:eastAsiaTheme="majorEastAsia" w:hAnsiTheme="majorHAnsi" w:cstheme="majorBidi" w:ascii="Liberation Sans" w:hAnsi="Liberation Sans"/>
      <w:b/>
      <w:color w:val="24364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Theme="majorHAnsi" w:eastAsiaTheme="majorEastAsia" w:hAnsiTheme="majorHAnsi" w:cstheme="majorBidi" w:ascii="Liberation Sans" w:hAnsi="Liberation Sans"/>
      <w:b w:val="0"/>
      <w:i/>
      <w:iCs/>
      <w:color w:val="596572"/>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A06 | Beitragsstopper / Projekt 51</dc:title>
  <dc:subject>Modulare Arbeitsfassung; individuelle rechtliche und fachliche Freigabe erforderlich</dc:subject>
  <dc:creator>Freiheitskanzlei - Arbeitsunterlagen</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