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01 | 3.0 | 03.10.2026</w:t>
      </w:r>
    </w:p>
    <w:p>
      <w:pPr>
        <w:pStyle w:val="Title"/>
      </w:pPr>
      <w:r>
        <w:t>Auswertung und Überarbeitung</w:t>
      </w:r>
    </w:p>
    <w:p>
      <w:pPr>
        <w:pStyle w:val="Subtitle"/>
      </w:pPr>
      <w:r>
        <w:t>Version 3.0 | Langfassung, neue Befunde und ungekürzte Originalgutachten</w:t>
      </w:r>
    </w:p>
    <w:p>
      <w:pPr>
        <w:pStyle w:val="Heading1"/>
      </w:pPr>
      <w:r>
        <w:t>1. Was an Version 2 korrigiert wird</w:t>
      </w:r>
    </w:p>
    <w:p>
      <w:r>
        <w:t>Die Konzentration auf bestimmte Klageanträge war sachgerecht; die Reduktion der begründenden Materialien ging für den erteilten Auftrag zu weit. Insbesondere konnte die alleinige Bereitstellung einer konsolidierten Kurzfassung ohne die vier Originalgutachten den Eindruck erwecken, die bisherigen Herleitungen und Untersuchungen seien entbehrlich. Das ist nicht die Konzeption dieser Überarbeitung. Ein gut lesbarer Hauptschriftsatz und vollständige wissenschaftliche beziehungsweise rechtlich-methodische Anlagen haben unterschiedliche Aufgaben und können nebeneinander eingereicht werden.</w:t>
      </w:r>
    </w:p>
    <w:p>
      <w:r>
        <w:t>Version 3 erhält die bisherigen Verfahrensmodule und erweitert die Klagebegründung um eine vertiefte Behandlung des neuen Materials. A10 erschließt die thematischen Sachverhaltskomplexe. G01 bleibt Leitgutachten; G02 ist ein eigener Vertiefungsband. G03 ordnet die ungekürzten Originalgutachten als einzeln bezeichnete Anlagen ein und grenzt alte, nicht übernommene Aussagen ab. Die Originalbibliothek enthält bytegleiche Kopien der vier bisherigen Gutachten und der ergänzenden Quellen. Sie werden nicht heimlich umgeschrieben, mit neuer Urheberschaft versehen oder als mehrere unabhängige Bestätigungen derselben Tatsachen ausgegeben.</w:t>
      </w:r>
    </w:p>
    <w:p>
      <w:r>
        <w:t>Nicht zurückgenommen werden die notwendigen Korrekturen aus Version 2: keine angeblich allgemeine Gerichtskostenfreiheit, kein garantierter 300-Euro-Streitwert, keine Geständnisfiktion durch Schweigen, kein pauschaler Auskunftsanspruch unmittelbar aus BVerwG 6 C 5.24 und keine automatische Wiedereröffnung rechtskräftig verlorener Verfahren. Umfangreiche Begründung und enge Anträge sind kein Widerspruch. [R01; R03-R06; R10]</w:t>
      </w:r>
    </w:p>
    <w:p>
      <w:pPr>
        <w:pStyle w:val="Heading1"/>
      </w:pPr>
      <w:r>
        <w:t>2. Aussagekraft des neuen Materials</w:t>
      </w:r>
    </w:p>
    <w:p>
      <w:r>
        <w:t>Die Nutzermeldungen aus Berlin sind wichtige Hinweise auf konkrete Verfahrens- und Kostenprobleme. Sie ersetzen aber nicht die Klageschriften, Sitzungsprotokolle, Urteile, Streitwertbeschlüsse und Kostenfestsetzungen. In einem Bericht werden spätere Abweisungen nur erwartet, nicht beobachtet. Eine Mitteilung über zwei abgewiesene Verfahren und ein Bericht über vier noch nicht verkündete Entscheidungen dürfen nicht zu sechs verifizierten Abweisungen zusammengezogen werden. Die relativen Angaben 4d und 1d sind keine belastbaren Verhandlungsdaten. [N05]</w:t>
      </w:r>
    </w:p>
    <w:p>
      <w:r>
        <w:t>Die wiedergegebenen Ansbacher Einwände lassen sich zu konkreten Verbesserungsaufgaben verarbeiten. Die vorgelegten Unterlagen enthalten aber keinen sicher identifizierten vollständigen Ansbacher Entscheidungstext, der die dargestellte Kritik an dem V-Gutachten belegt. Deshalb wird nicht behauptet, ein bestimmtes Aktenzeichen habe bestimmte Sätze entschieden. Eine Veröffentlichung aus Februar 2026 kann ohne weitere Erklärung nicht die spätere Juni-Fassung dieses Gutachtens beurteilt haben. Q04 enthält die Unterlagenanforderung und ein Gegenüberstellungsblatt. [N05]</w:t>
      </w:r>
    </w:p>
    <w:p>
      <w:r>
        <w:t>Schmitz behandelt den Beschluss 7 A 10424/25.OVG vom 17.03.2026 auf den Seiten 141-152 seines Buchs. Das ist eine Stellungnahme zum Beschluss, nicht der Beschluss selbst. Der Originaltext konnte bei der erneuten öffentlichen Recherche nicht verlässlich beschafft werden. Bis dahin werden der Umfang von 230 Seiten und der behauptete Begründungswiderspruch ausschließlich als Darstellung Schmitz' behandelt. Eine hohe Seitenzahl allein beweist weder ausreichende Substantiierung noch ihre Unmöglichkeit. [N01]</w:t>
      </w:r>
    </w:p>
    <w:p>
      <w:r>
        <w:t>Das Glashaus-Whitepaper und die O-Ton-Auswertung sind neue, konkret beschriebene Untersuchungen. Sie schließen wichtige Lücken der bisherigen Literaturbasis. Sie untersuchen jedoch verschiedene Messgegenstände: inhaltliche Nähe markierter Kommentare zu Referenztexten einerseits, erkannte O-Ton-Einbindungen mit Parteizeile andererseits. Eine Verschmelzung ihrer Werte zu einem einzigen politischen Ausgewogenheitsindex wäre methodisch nicht gedeckt. Die neuen Originaldateien bleiben eigenständige Anlagen. [N02; N03]</w:t>
      </w:r>
    </w:p>
    <w:p>
      <w:pPr>
        <w:pStyle w:val="Heading1"/>
      </w:pPr>
      <w:r>
        <w:t>3. Sofortige Konsequenz für Kosten und Aufklärung</w:t>
      </w:r>
    </w:p>
    <w:p>
      <w:r>
        <w:t>Die Kostenkommunikation muss zwischen Produktpreis, Gerichtskosten, eigenen Anwaltskosten, gegnerischen erstattungsfähigen Anwaltskosten und möglichen Beweisauslagen unterscheiden. Eine einzelne historische Angabe von 114 Euro war nie ein vollständiges Prozesskostenbudget. Auch wer ohne eigenen Anwalt klagt, kann bei Unterliegen zur Erstattung des gegnerischen Anwalts verpflichtet sein. K01 enthält nachvollziehbare Szenarien und eine verwendbare Nutzerinformation. [R03, §§ 154, 162; N06-N09]</w:t>
      </w:r>
    </w:p>
    <w:p>
      <w:r>
        <w:t>Ein Beweisantrag erhöht den Streitwert nicht allein deshalb, weil er gestellt wird. Zusätzliche selbständige Klageziele können den Streitwert beeinflussen; die Beweisaufnahme kann zusätzliche Auslagen verursachen. Eine bloße Umbenennung schon erhobener selbständiger Ansprüche heilt das Kostenproblem nicht. A09 unterscheidet eine wirkliche Klarstellung von einer möglichen Teilrücknahme. Alte Anträge bleiben bis zur konkreten Prüfung nicht einfach unerwähnt. [R04; N08; N09]</w:t>
      </w:r>
    </w:p>
    <w:p>
      <w:pPr>
        <w:pStyle w:val="Heading1"/>
      </w:pPr>
      <w:r>
        <w:t>4. Der neue Beweiszusammenhang</w:t>
      </w:r>
    </w:p>
    <w:p>
      <w:r>
        <w:t>Die Forschungsarchitektur besteht aus drei empirischen Ebenen und einer methodischen Querschnittsfrage. Output bezeichnet das tatsächlich veröffentlichte Programm. Kontrolle bezeichnet die Behandlung dokumentierter Beschwerden und nachweisbare Korrekturen. Produktion bezeichnet konkrete redaktionelle Entscheidungsabläufe. Der Zugang zu Daten betrifft alle drei Ebenen, beweist aber keine von ihnen allein.</w:t>
      </w:r>
    </w:p>
    <w:p>
      <w:r>
        <w:t>Aus ihrer Verbindung entsteht zunächst ein Untersuchungsmodell. Zu einem belastbaren institutionellen Erklärungsmodell wird es erst, wenn dieselben Vorgänge oder nachvollziehbar vergleichbare Einheiten miteinander verknüpft werden. Ein kritischer Kommentar, eine andere unbeantwortete Beschwerde und ein dritter arbeitsrechtlicher Konflikt ergeben nicht schon deshalb eine geschlossene Kausalkette. G02 beschreibt notwendige Verknüpfungen, Gegenhypothesen und Kontrollfälle.</w:t>
      </w:r>
    </w:p>
    <w:p>
      <w:r>
        <w:t>Die bereits möglichen Langzeitauswertungen widerlegen die pauschale Aussage, außerhalb der Anstalten gebe es überhaupt keine verwertbaren Daten. Sie widerlegen nicht ohne Weiteres eine konkret dokumentierte Archivlücke oder unzumutbare Zugangshürde. Die neue Argumentation lautet deshalb: vorhandenes Material auswerten, Grenzen offenlegen, für genau bezeichnete Lücken konkrete Mitwirkung verlangen. P15 erfasst diese Unterschiede je Format, Zeitraum und Datenart. [N02; N03; R13-R14]</w:t>
      </w:r>
    </w:p>
    <w:p>
      <w:pPr>
        <w:pStyle w:val="Heading1"/>
      </w:pPr>
      <w:r>
        <w:t>5. Projekt 51: zwei rechtlich verschiedene Vorhaben</w:t>
      </w:r>
    </w:p>
    <w:p>
      <w:r>
        <w:t>Der gewünschte Feststellungsansatz bleibt in P10-P13 enthalten. Seine These betrifft eine konkret widersprüchliche Position der Anstalt im fortbestehenden Beitragsverhältnis. Es handelt sich um einen Rechtsfortbildungsansatz, nicht um eine bereits anerkannte selbständige Klageart. Der Einwand aus § 43 Abs. 2 VwGO und die Frage, ob nur eine prozessuale Vorfrage zum Gegenstand gemacht wird, bleiben entscheidend. Auch nach Erweiterung der Gutachten werden diese Hürden nicht durch Wortwahl beseitigt. [R03, § 43]</w:t>
      </w:r>
    </w:p>
    <w:p>
      <w:r>
        <w:t>Ein davon zu unterscheidender konkreter Informationszugang kann einen anderen Streitgegenstand betreffen. P14 ist hierfür eine Alternative, kein heimlicher Austausch des Projektziels. Sie setzt eine im Einzelfall tragfähige Anspruchsgrundlage voraus. Nicht jede Rundfunkanstalt unterliegt denselben Informationszugangsvorschriften, und nicht jede vorhandene Information ist herauszugeben. Umfangreiche Programmnachweise sind bei einer solchen Zugangsklage nicht generell die gleiche Eingangsvoraussetzung wie bei einer materiellen Programmrüge. [R13-R16]</w:t>
      </w:r>
    </w:p>
    <w:p>
      <w:r>
        <w:t>Ein vollständiges empirisches Hauptgutachten bei Klageerhebung wird nicht als gesetzliches Erfordernis behauptet. Für bewusst geplante materielle Pilotverfahren kann ein hinreichend geprüftes empirisches Startpaket als interne Freigabebedingung sinnvoll sein. Dringende Anfechtungsfristen werden deswegen nicht versäumt. Ebenso wenig wird für einen eigenständigen Zugangsstreit verlangt, schon den durch die begehrten Daten erst zu ermöglichenden Vollnachweis vorzulegen. [R03, §§ 74, 82, 87b]</w:t>
      </w:r>
    </w:p>
    <w:p>
      <w:pPr>
        <w:pStyle w:val="Heading1"/>
      </w:pPr>
      <w:r>
        <w:t>6. Einreichung und Arbeitsreihenfolge</w:t>
      </w:r>
    </w:p>
    <w:p>
      <w:r>
        <w:t>Neue Anfechtung: A00, A01, A02 und die fallbezogen ausgefüllten Teile A03/A06; konkret ausgewählte Beweisangebote aus A04; A10 nur mit ausgefüllten Sachverhaltsdossiers. G01/G02 und die in G03 bezeichneten Originalgutachten werden entsprechend ihrem Beweisthema beigefügt. Einreichungsumfang und Versionsstand stehen im Unterschriftenteil. Unausgefüllte Alternativen, interne Beschaffungsaufträge und nicht adoptierte Wertungen gehören nicht in die Gerichtsfassung.</w:t>
      </w:r>
    </w:p>
    <w:p>
      <w:r>
        <w:t>Laufendes Verfahren: A05 mit neuen Anlagen, Seiten- und Beweisthemen; falls erforderlich getrennt A09 zum Antragsumfang. Ein früherer Schriftsatz wird nicht pauschal für falsch oder unwirksam erklärt. Konkrete tatsächliche Angaben bleiben erhalten; rechtliche Korrekturen werden offen erläutert. Ein bereits versäumtes Rechtsmittel wird durch die Nachreichung nicht wieder zulässig.</w:t>
      </w:r>
    </w:p>
    <w:p>
      <w:r>
        <w:t>Projekt 51: P00/P08 intern, P01-P07 und P15 zur dokumentierten Klärung des Zugangs, P16-P18 zur fachlichen Absicherung. P10-P13 erst nach Rechtsverhältnis-, Subsidiaritäts-, Zuständigkeits-, Rechtskraft- und Kostenprüfung; P14 nur bei Wahl einer tatsächlich tragfähigen Zugangsroute. Es wird keine freie Wahl von 51 Gerichten behauptet und keine kollektive Kostenübernahme erfunden.</w:t>
      </w:r>
    </w:p>
    <w:p>
      <w:pPr>
        <w:pStyle w:val="Heading1"/>
      </w:pPr>
      <w:r>
        <w:t>7. Noch nicht erledigt</w:t>
      </w:r>
    </w:p>
    <w:p>
      <w:r>
        <w:t>Diese Revision ist eine ausgearbeitete rechtliche und methodische Arbeitsfassung. Sie ist keine abgeschlossene Replikation der beiden neuen Studien, keine selbst durchgeführte Auswertung von Originalvideos und keine empirische Gesamtprogrammanalyse. Auch eine unabhängige medienwissenschaftliche Freigabe ist nicht erfolgt. Die Rohdateien aus dem im O-Ton-Bericht genannten Drive-Ordner, die aktuellen Originalurteile und die individuellen Verfahrensakten liegen für diese Prüfung nicht vollständig vor. Die fehlenden Unterlagen sind in den Schreiben konkret bezeichnet, nicht durch Annahmen ersetzt.</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01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