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00  |  INTERNE STEUERUNG - NICHT ALS KLAGESCHRIFT EINREICHEN</w:t>
      </w:r>
    </w:p>
    <w:p>
      <w:pPr>
        <w:pStyle w:val="Title"/>
      </w:pPr>
      <w:r>
        <w:t>Entscheidungsvorlage und Leseweg</w:t>
      </w:r>
    </w:p>
    <w:p>
      <w:pPr>
        <w:pStyle w:val="Subtitle"/>
      </w:pPr>
      <w:r>
        <w:t>Neue Beitragsklage, konsolidierte Stellungnahme und Projekt 51</w:t>
      </w:r>
    </w:p>
    <w:p>
      <w:pPr>
        <w:spacing w:after="200"/>
      </w:pPr>
      <w:r>
        <w:rPr>
          <w:i/>
        </w:rPr>
        <w:t>ERGÄNZUNG VERSION 3: Diese Entscheidungsvorlage bleibt als Grundlagenstand erhalten. Für die aktuelle Verwendung zuerst 01_Auswertung_Revision_v3 lesen. G01 ist keine Ersatzfassung der vier Originalgutachten. Die neuen Module A09/A10, G02/G03, P15-P18, K01 und Q03/Q04 sowie die gesonderte Originalbibliothek gehören zum aktualisierten Arbeitsbestand.</w:t>
      </w:r>
    </w:p>
    <w:p>
      <w:pPr>
        <w:pStyle w:val="Heading1"/>
      </w:pPr>
      <w:r>
        <w:t>1. Die drei Vorhaben gemeinsam aufbauen, rechtlich trennen</w:t>
      </w:r>
    </w:p>
    <w:p>
      <w:r/>
      <w:r>
        <w:rPr>
          <w:b/>
        </w:rPr>
        <w:t>Die neue Beitragsklage, ein gemeinsames Privatgutachten und Projekt 51 können auf derselben Erkenntnisbasis aufbauen. Sie dürfen aber nicht zu einem einzigen Streitgegenstand verschmelzen.</w:t>
      </w:r>
      <w:r>
        <w:t xml:space="preserve"> Die Beitragsklage greift einen bestimmten Bescheid an. G01 ordnet Recht, Erkenntnisproblem und vorhandene Indizien. Projekt 51 betrifft eine konkret zu begründende Auseinandersetzung um Datenzugang und widersprüchliche Anforderungen. Vollstreckung und Automatisierung bleiben ein eigener Arbeitsstrang.</w:t>
      </w:r>
    </w:p>
    <w:p>
      <w:r>
        <w:t>Dieses Paket enthält ausformulierte Dokumente und alternative Anträge. Es ersetzt weder fehlende Individualbelege noch eine noch nicht durchgeführte empirische Gesamtprogrammuntersuchung. Platzhalter kennzeichnen Informationen, die nicht aus einem Muster erfunden werden dürfen. Vor Einreichung sind Variante, Tatsachen, Fristen, Zuständigkeit und Kostenrisiken verantwortlich, zweckmäßigerweise anwaltlich, zu prüfen.</w:t>
      </w:r>
    </w:p>
    <w:p>
      <w:pPr>
        <w:pStyle w:val="Heading1"/>
      </w:pPr>
      <w:r>
        <w:t>2. Warum die bisherige Argumentation angreifbar war</w:t>
      </w:r>
    </w:p>
    <w:p>
      <w:r>
        <w:t>Die alte Klage enthält viele Argumente, aber vermischt Bescheidanfechtung, globale Feststellungen, Organisationskritik und Programmfragen. Aus methodischen Überlegungen und Teilindizien wird stellenweise bereits ein abschließender Nachweis des Gesamtversagens abgeleitet. Die neue Fassung vermeidet diesen Sprung und ordnet jedem Baustein eine bestimmte Beweisfunktion zu. [U05-U07]</w:t>
      </w:r>
    </w:p>
    <w:p>
      <w:r>
        <w:t>Die Gutachten berichten über zahlreiche Verfahren. Die vollständigen Urteile, Zustellungen und Schriftsätze dieser individuellen Verfahren liegen hier jedoch nicht als geschlossene Sammlung vor. Deshalb ist eine Diagnose der Musterargumentation möglich, nicht die abschließende Erklärung jeder einzelnen Niederlage. Fristprobleme, fehlender Zeitbezug, unzureichende empirische Substantiierung und eine abweichende materiell-rechtliche Bewertung sind unterschiedliche Fehlerklassen. [U01; U11; U14]</w:t>
      </w:r>
    </w:p>
    <w:p>
      <w:r>
        <w:t>Der neue Schriftsatz sagt deshalb nicht pauschal: Alle bisherigen Richter haben die Aufklärung verweigert. Er legt dar, was das betreffende Gericht tatsächlich entschieden hat, welche Belege damals vorlagen und was jetzt hinzukommt. Dafür enthält A06 die notwendigen Fall- und Belegfelder.</w:t>
      </w:r>
    </w:p>
    <w:p>
      <w:pPr>
        <w:pStyle w:val="Heading1"/>
      </w:pPr>
      <w:r>
        <w:t>3. Zwei Entscheidungen, die zusammen gelesen werden müssen</w:t>
      </w:r>
    </w:p>
    <w:p>
      <w:r>
        <w:t>BVerwG 6 C 5.24 eröffnet eine eng begrenzte verfassungsrechtliche Programmrüge: grobe, evidente und regelmäßige Verfehlung des Gesamtangebots über einen angemessen langen Zeitraum. Die Darlegung erfolgt in aller Regel durch eine wissenschaftliche Untersuchung. Das Urteil verlangt keine mathematisch gleiche Darstellung jeder Position und schafft keinen allgemeinen unmittelbaren Anspruch jedes Beitragszahlers auf sämtliche internen Rohdaten. [R01]</w:t>
      </w:r>
    </w:p>
    <w:p>
      <w:r>
        <w:t>Die schriftlichen Gründe des VGH Baden-Württemberg, 2 S 2529/25, sind besonders wichtig. Sie kritisieren die wirtschaftlichen und rechtsschutzbezogenen Schwierigkeiten einer vorprozessualen Großuntersuchung ausdrücklich. Die Berufung wird dennoch aus anderen rechtlichen Gründen zurückgewiesen. Die Entscheidung hilft gegen überzogene Zugangshürden, enthält aber zugleich materielle Gegenargumente, die eine neue Klage beantworten muss. Der weitere Verfahrensgang ist hier nicht abschließend verifiziert. [R02, insbesondere S. 14-32]</w:t>
      </w:r>
    </w:p>
    <w:p>
      <w:r>
        <w:t>Die dort erwähnten 90 Millionen Euro sind kein bestätigtes Budget einer notwendigen Untersuchung, sondern wiedergegebenes Parteivorbringen. Das Paket verwendet diese Zahl nicht als eigene Kostenfeststellung. Ein realistischer Forschungsplan muss Datenzugang, Stichprobe, Aufwand und Finanzierung erst bestimmen. [R02]</w:t>
      </w:r>
    </w:p>
    <w:p>
      <w:pPr>
        <w:pStyle w:val="Heading1"/>
      </w:pPr>
      <w:r>
        <w:t>4. Vier Korrekturen mit unmittelbarer praktischer Bedeutung</w:t>
      </w:r>
    </w:p>
    <w:p>
      <w:r/>
      <w:r>
        <w:rPr>
          <w:b/>
        </w:rPr>
        <w:t>Keine pauschale Kostenfreiheit:</w:t>
      </w:r>
      <w:r>
        <w:t xml:space="preserve"> Normale Rundfunkbeitrags- und Programmrügen werden nicht allein durch ihre grundsätzliche Bedeutung nach Paragraph 188 VwGO gerichtskostenfrei. Auch die Bezeichnung kostenfreie Beweisanregung beseitigt keine gesetzlichen Auslagen. [U05-U07; R03-R06]</w:t>
      </w:r>
    </w:p>
    <w:p>
      <w:r/>
      <w:r>
        <w:rPr>
          <w:b/>
        </w:rPr>
        <w:t>Kein belegter 300-Euro-Standardstreitwert:</w:t>
      </w:r>
      <w:r>
        <w:t xml:space="preserve"> OLG Celle, 5 W 46/24, betrifft Datenschutzansprüche gegen einen Musik-Streaming-Dienst. Die alte Klage verwendet diese Fundstelle auf S. 110 sachfremd für Rundfunk-Massenverfahren. Der Verweis wird nicht übernommen. [U06; R10]</w:t>
      </w:r>
    </w:p>
    <w:p>
      <w:r/>
      <w:r>
        <w:rPr>
          <w:b/>
        </w:rPr>
        <w:t>Keine automatische Beweislastumkehr:</w:t>
      </w:r>
      <w:r>
        <w:t xml:space="preserve"> Eine Datenanfrage macht die Anstalt nicht automatisch für die positive Rechtfertigung ihres gesamten Programms beweispflichtig. Ihr Schweigen ist im Verwaltungsprozess nicht schon deshalb ein Geständnis nach Paragraph 138 Abs. 3 ZPO. Die neue Fassung benennt konkrete Tatsachen, fehlende Erkenntnismittel und passende Aufklärungsschritte. [R01; R03]</w:t>
      </w:r>
    </w:p>
    <w:p>
      <w:r/>
      <w:r>
        <w:rPr>
          <w:b/>
        </w:rPr>
        <w:t>Keine automatische Verfahrensblockade:</w:t>
      </w:r>
      <w:r>
        <w:t xml:space="preserve"> Auskunftsersuchen erzwingen weder Ruhen noch Vertagung oder Gutachten. Sie verlängern keine Rechtsbehelfsfristen und heben Rechtskraft nicht auf. Die besondere BGH-Entscheidung VI ZR 335/24 wird wegen ihres arzneimittelrechtlichen Anspruchshintergrunds nicht als allgemeines Rundfunk-Auskunftsrecht behandelt. [U03; U10; R03; R09]</w:t>
      </w:r>
    </w:p>
    <w:p>
      <w:pPr>
        <w:pStyle w:val="Heading1"/>
      </w:pPr>
      <w:r>
        <w:t>5. Die Beitragsklage praktisch zusammensetzen</w:t>
      </w:r>
    </w:p>
    <w:p>
      <w:r>
        <w:t>A00 ist das Deckblatt. A01 enthält Anträge und Unterschrift. A02 ist das Inhaltsverzeichnis. A03 ist die ausformulierte Klagebegründung. A04 enthält nach Beleglage auszuwählende Aufklärungs- und Beweisanträge. A06 hält Individualdaten, Programmanhaltspunkte, Zugangsversuche und Anlagen auseinander. A07 ist das Versandanschreiben.</w:t>
      </w:r>
    </w:p>
    <w:p>
      <w:r>
        <w:t>Für eine neue Anfechtungsklage werden zuerst Gericht, Beklagte, Bescheid, Beitragszeitraum, Vorverfahren und Frist geklärt. Anschließend werden A03 und A04 mit tatsächlichen Belegen verbunden. A01 nimmt die endgültig ausgewählten Module in Bezug. Nach jeder Änderung sind Version, Umfang und Anlagenangaben abzugleichen. Interne Prüfblätter und alternative Klagearten werden nicht ungeprüft mitversandt.</w:t>
      </w:r>
    </w:p>
    <w:p>
      <w:r>
        <w:t>In laufenden Verfahren dient A05 der Ergänzung. Bereits gestellte selbständige Zusatzanträge werden nicht pauschal zurückgenommen: Zuerst sind Auslegung, Reichweite und Kostenfolgen zu klären. A08 ist nur für einen tatsächlich noch anfechtbaren Bescheid eine kurze fristwahrende Fassung. Kein A-Modul startet automatisch einen rechtskräftig verlorenen Streit neu. [R03-R04]</w:t>
      </w:r>
    </w:p>
    <w:p>
      <w:r>
        <w:t>Beitragszeitraum und Untersuchungszeitraum müssen getrennt erfasst werden. Die vom BVerwG beschriebene regelmäßig mindestens zweijährige Betrachtung endet mit dem Ende des festgesetzten Beitragszeitraums, nicht automatisch mit dem Datum eines späteren Bescheids. Neuere Beschwerdezahlen ersetzen nicht ohne zeitliche Brücke die Untersuchung eines historischen Programms. [R01, Rn. 40-41]</w:t>
      </w:r>
    </w:p>
    <w:p>
      <w:pPr>
        <w:pStyle w:val="Heading1"/>
      </w:pPr>
      <w:r>
        <w:t>6. Gemeinsamer Leitband und vollständige Originalgutachten</w:t>
      </w:r>
    </w:p>
    <w:p>
      <w:r>
        <w:t>G01 verbindet die tragenden Gedanken des V-Gutachtens, der Grundlagenuntersuchung, des Kurzgutachtens und der Beschwerdeauswertung. Rechtsmaßstab, empirische Angaben, Theorie, Datenbedarf und prozessuale Konsequenz bleiben unterscheidbar. Die Originale werden als Quellen mit eigener Version und Autorenschaft erhalten. Der Vergleich ist keine bloße Zusammenheftung.</w:t>
      </w:r>
    </w:p>
    <w:p>
      <w:r>
        <w:t>Die Müller-Stellungnahme wird nicht umgeschrieben oder als eigene Datenerhebung ausgegeben. Ihre Tagesschau-Untersuchung kann als Teilindiz geprüft werden; sie deckt weder alle Programme noch zwei Jahre ab. Vier aufeinander aufbauende methodische Texte sind nicht vier unabhängige Bestätigungen einer Programmverfehlung. [U01-U04; U08]</w:t>
      </w:r>
    </w:p>
    <w:p>
      <w:r>
        <w:t>G01 muss ein tatsächlich verantwortlicher Verfasser fachlich übernehmen. Person, Qualifikation, Auftrag, KI-Unterstützung und Grenzen der Datenbasis bleiben transparent. Eine gerichtliche Sachverständigenbestellung oder eine fertige empirische Gesamtanalyse wird damit nicht behauptet. In laufenden Verfahren ist die Stellungnahme mit konkreten Abschnitten und individuellen Tatsachen einzuführen, nicht unkommentiert als weiterer großer Anhang.</w:t>
      </w:r>
    </w:p>
    <w:p>
      <w:pPr>
        <w:pStyle w:val="Heading1"/>
      </w:pPr>
      <w:r>
        <w:t>7. Projekt 51: Feststellungsidee ausformuliert, Risiken nicht versteckt</w:t>
      </w:r>
    </w:p>
    <w:p>
      <w:r>
        <w:t>P10-P13 verfolgen eigenständig die gewünschte Idee: Eine Anstalt soll in einem konkret fortbestehenden Beitragsrechtsverhältnis nicht allein den fehlenden wissenschaftlichen Nachweis entgegenhalten dürfen, soweit sie selbst den zumutbar begrenzten Zugang zu genau bezeichneten erforderlichen Daten verweigert und gleichwertige Alternativen fehlen. Das ist nicht dieselbe Klage wie die erneute Anfechtung des alten Bescheids.</w:t>
      </w:r>
    </w:p>
    <w:p>
      <w:r/>
      <w:r>
        <w:rPr>
          <w:b/>
        </w:rPr>
        <w:t>Diese Konstruktion ist nicht als zulässiger Standardweg gesichert.</w:t>
      </w:r>
      <w:r>
        <w:t xml:space="preserve"> Ein Gericht kann sie als isolierte Frage künftiger Darlegung und Beweiswürdigung verstehen, nicht als feststellungsfähiges materielles Rechtsverhältnis. Subsidiarität nach Paragraph 43 Abs. 2 VwGO und Rechtskraft bleiben selbständige Hürden. P13 entwickelt die bestmögliche fallbezogene Gegenargumentation, ohne die Probleme durch einen neuen Namen zu verdecken. [R03; R17-R19]</w:t>
      </w:r>
    </w:p>
    <w:p>
      <w:r>
        <w:t>P14 enthält ergänzend eine echte Zugangsvariante. Sie setzt eine für die jeweilige Anstalt und Datenkategorie tragfähige Anspruchsgrundlage voraus. Abhängig von der Ausgestaltung kann eine Verpflichtungs- oder allgemeine Leistungsklage passen. P14 wird nicht automatisch zusammen mit P11 eingereicht; Auswahl und Verbindung sind eine bewusste Entscheidung.</w:t>
      </w:r>
    </w:p>
    <w:p>
      <w:r>
        <w:t>51 Verwaltungsgerichte sind kein frei auswählbares Netz für alle Klagearten. Gerade isolierte Feststellungs- oder allgemeine Leistungsklagen können nach Paragraph 52 Nr. 5 VwGO am Sitz der Beklagten konzentriert sein. Bei Anfechtungs- und Verpflichtungsklagen ist die besondere Prüfung nach Nr. 3 erforderlich. Die Wohnortverteilung der Teilnehmer allein sichert keine Verteilung auf alle Gerichte. [R03; R20-R21]</w:t>
      </w:r>
    </w:p>
    <w:p>
      <w:pPr>
        <w:pStyle w:val="Heading1"/>
      </w:pPr>
      <w:r>
        <w:t>8. Vorbereitung, Forschung und Kostenfreigabe</w:t>
      </w:r>
    </w:p>
    <w:p>
      <w:r>
        <w:t>P01-P03 sind vollständige getrennte Schreiben an LRA, ZDF und Deutschlandradio. P04 betrifft wissenschaftliche Archive, P05 den Forschungsplan, P06 begrenzte Datensicherung, P07 die Antwortnachverfolgung und P09 einen wissenschaftlichen Partner. P00 und P08 steuern Fallauswahl und Freigabe.</w:t>
      </w:r>
    </w:p>
    <w:p>
      <w:r>
        <w:t>Die offiziellen Archivinformationen widersprechen der pauschalen Annahme, alles relevante Material sei ausschließlich intern und unerreichbar. Zugänge sind dezentral und bedingt. Deshalb wird dokumentiert, was tatsächlich vorhanden, zugänglich, beschränkt oder abgelehnt ist. Auch teilweise positive Antworten werden erfasst. [R13-R14]</w:t>
      </w:r>
    </w:p>
    <w:p>
      <w:r>
        <w:t>Nur als Rechenbeispiel: Bei angenommenen 5.000 Euro Streitwert betragen 3,0 Gerichtsgebühren derzeit 511,50 Euro je allgemeinem erstinstanzlichem Verfahren. 51 solche Verfahren ergeben 26.086,50 Euro, 102 Verfahren 52.173 Euro. Das ist weder eine Streitwertprognose noch eine Gesamtkostengrenze. Anwälte, Auslagen, Sachverständige, Rechtsmittel und getrennte Gegner können weitere Kosten auslösen. [R04-R06]</w:t>
      </w:r>
    </w:p>
    <w:p>
      <w:pPr>
        <w:pStyle w:val="Heading1"/>
      </w:pPr>
      <w:r>
        <w:t>9. Was jetzt für die erste individuelle Fassung benötigt wird</w:t>
      </w:r>
    </w:p>
    <w:p>
      <w:r>
        <w:t>Benötigt werden vollständige alte Urteile mit Rechtskraft- oder Rechtsmittelstatus, Bescheide mit Beitragszeiträumen, alle Auskunftsanträge und Antworten samt Zugangsbelegen sowie die aktuelle konkrete Auseinandersetzung. Für die Empirie kommen Original-CSV, Exporterklärung, Antwort- und Ergebnisbestände sowie wissenschaftliche Verantwortlichkeit hinzu.</w:t>
      </w:r>
    </w:p>
    <w:p>
      <w:r>
        <w:t>Zuerst werden wenige vollständige Akten an den formulierten Anforderungen geprüft. Erst danach wird eine passende Fassung vervielfältigt. Die beigefügten 51 Planungsslots enthalten bewusst keine erfundenen Teilnehmer, Gerichtszuordnungen oder Freigaben.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R02 | VGH Baden-Württemberg, Urteil aufgrund Verhandlung vom 14.04.2026 - 2 S 2529/25. Amtliche Entscheidungs-PDF, 43 Seiten. Insbesondere S. 14-28 zu materiellen Gegenargumenten sowie S. 30-32 zur Kritik an der Gutachtenhürde. Berufung zurückgewiesen, Revision nicht zugelassen; weiterer Verfahrensgang hier nicht verifiziert.</w:t>
        <w:br/>
        <w:t>https://verwaltungsgerichtshof-baden-wuerttemberg.justiz-bw.de/pb/site/pbs-bw-rebrush-jum/get/documents_E-1983769261/jum1/JuM/VGH/Presse/Entscheidungen/2s2529.25u.pdf</w:t>
      </w:r>
    </w:p>
    <w:p>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r>
        <w:rPr>
          <w:sz w:val="18"/>
        </w:rPr>
        <w:t>R04 | Gerichtskostengesetz. Amtlicher Gesetzestext, insbesondere §§ 39, 45, 52, 63 und Anlagen 1/2. Kein pauschaler 300-Euro-Streitwert für Rundfunk-Massenverfahren.</w:t>
        <w:br/>
        <w:t>https://www.gesetze-im-internet.de/gkg_2004/</w:t>
      </w:r>
    </w:p>
    <w:p>
      <w:r>
        <w:rPr>
          <w:sz w:val="18"/>
        </w:rPr>
        <w:t>R05 | GKG, Anlage 2. Gebührentabelle: bis 5.000 Euro Streitwert eine Gebühr von 170,50 Euro. Geprüfter Tabellenstand am 03.10.2026.</w:t>
        <w:br/>
        <w:t>https://www.gesetze-im-internet.de/gkg_2004/anlage_2.html</w:t>
      </w:r>
    </w:p>
    <w:p>
      <w:r>
        <w:rPr>
          <w:sz w:val="18"/>
        </w:rPr>
        <w:t>R06 | GKG, Anlage 1, KV 5110. Allgemeines Verfahren vor dem Verwaltungsgericht: 3,0 Gebühren; Ermäßigungen nur nach gesetzlichen Voraussetzungen.</w:t>
        <w:br/>
        <w:t>https://www.gesetze-im-internet.de/gkg_2004/anlage_1.html</w:t>
      </w:r>
    </w:p>
    <w:p>
      <w:r>
        <w:rPr>
          <w:sz w:val="18"/>
        </w:rPr>
        <w:t>R10 | OLG Celle, Beschluss vom 10.06.2024 - 5 W 46/24. Amtliches NI-VORIS: Streitwert von Datenschutzansprüchen nach Cyberangriff auf einen Musik-Streaming-Dienst. Nicht Rundfunkbeitragsrecht.</w:t>
        <w:br/>
        <w:t>https://voris.wolterskluwer-online.de/browse/document/72c4c91d-1db4-4ed1-b51e-512f7a1b71cc</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p>
      <w:r>
        <w:rPr>
          <w:sz w:val="18"/>
        </w:rPr>
        <w:t>R20 | BVerwG: Aufbau der Verwaltungsgerichtsbarkeit. Offizielle Übersicht nennt 51 Verwaltungsgerichte. Kein Beleg einer Zuständigkeit aller 51 Gerichte für gleichartige isolierte Feststellungsklagen.</w:t>
        <w:br/>
        <w:t>https://www.bverwg.de/rechtsprechung/verwaltungsgerichtsbarkeit/aufbau-der-verwaltungsgerichtsbarkeit</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00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