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Q02  |  INTERNE QUALITÄTSSICHERUNG</w:t>
      </w:r>
    </w:p>
    <w:p>
      <w:pPr>
        <w:pStyle w:val="Title"/>
      </w:pPr>
      <w:r>
        <w:t>Bestands- und Änderungsprüfung</w:t>
      </w:r>
    </w:p>
    <w:p>
      <w:pPr>
        <w:pStyle w:val="Subtitle"/>
      </w:pPr>
      <w:r>
        <w:t>Was bleibt, was wird korrigiert und welche Belege fehlen?</w:t>
      </w:r>
    </w:p>
    <w:p>
      <w:pPr>
        <w:pStyle w:val="Heading1"/>
      </w:pPr>
      <w:r>
        <w:t>1. Die verschiedenen Stände richtig behandeln</w:t>
      </w:r>
    </w:p>
    <w:p>
      <w:r>
        <w:t>Das Archiv enthält neben eigenständigen Projekttexten PDF- und DOCX-Fassungen derselben Gutachten. Ein Text in einem zweiten Format liefert keine unabhängige Bestätigung. Der technisch erschlossene Eingangsbestand ist mit Dateinamen, Herkunft und SHA-256 in Eingangsbestand.json dokumentiert. Die Originale bleiben unverändert.</w:t>
      </w:r>
    </w:p>
    <w:p>
      <w:r>
        <w:t>Die Projekttexte entwickeln unterschiedliche Wege: Leistungs- und Archivzugangsvarianten stehen neben einer späteren eigenständigen Feststellungsidee. P00 und P13 behandeln sie als alternative Verfahrenswege. Ein Dateiname mit dem Jahr 2027 belegt kein tatsächliches Entstehungsdatum in der Zukunft. Die Grafik mit Gerichtsanzahlen belegt keine Teilnehmer- oder Zuständigkeitsliste.</w:t>
      </w:r>
    </w:p>
    <w:p>
      <w:r>
        <w:t>Ein gesondertes allgemeines Standard-Anschreiben als vierter alter Klagebestandteil ist nicht eindeutig identifiziert. Das individuelle Rolf-Prüfblatt ersetzt es nicht. A07 ist deshalb ein neues neutrales Begleitschreiben. Gesonderte Vollstreckungs- und Automatisierungsgutachten werden nicht als hier vollständig geprüfter eigener Bestand ausgegeben oder in die Programmstrategie hineinkopiert.</w:t>
      </w:r>
    </w:p>
    <w:p>
      <w:pPr>
        <w:pStyle w:val="Heading1"/>
      </w:pPr>
      <w:r>
        <w:t>2. Änderungsprotokoll</w:t>
      </w:r>
    </w:p>
    <w:p>
      <w:pPr>
        <w:pStyle w:val="Heading2"/>
      </w:pPr>
      <w:r>
        <w:t>1. Streitgegenstand und Zusatzanträge</w:t>
      </w:r>
    </w:p>
    <w:p>
      <w:r>
        <w:t>Ausgangslage: U05/U06 verbinden Bescheidanfechtung und globale Feststellungen.</w:t>
      </w:r>
    </w:p>
    <w:p>
      <w:r>
        <w:t>Neue Fassung: A01 begrenzt den neuen Standard auf den konkreten Bescheid. P11/P14 sind gesondert auszuwählende Streitgegenstände. A05 klärt alte Zusatzanträge und Kosten vor einer Rücknahme.</w:t>
      </w:r>
    </w:p>
    <w:p>
      <w:r>
        <w:rPr>
          <w:sz w:val="18"/>
        </w:rPr>
        <w:t>Abgleich: R03-R04</w:t>
      </w:r>
    </w:p>
    <w:p>
      <w:pPr>
        <w:pStyle w:val="Heading2"/>
      </w:pPr>
      <w:r>
        <w:t>2. BVerwG und Verwaltungsorganisation</w:t>
      </w:r>
    </w:p>
    <w:p>
      <w:r>
        <w:t>Ausgangslage: U06 schreibt 6 C 5.24 Aussagen zu Beitragsservice, Unterschrift und Organisation zu.</w:t>
      </w:r>
    </w:p>
    <w:p>
      <w:r>
        <w:t>Neue Fassung: Nur tatsächliche programm- und verfassungsrechtliche Aussagen werden verwendet. Organisatorische Nebenlinien bleiben außerhalb dieses Pakets.</w:t>
      </w:r>
    </w:p>
    <w:p>
      <w:r>
        <w:rPr>
          <w:sz w:val="18"/>
        </w:rPr>
        <w:t>Abgleich: R01; R07</w:t>
      </w:r>
    </w:p>
    <w:p>
      <w:pPr>
        <w:pStyle w:val="Heading2"/>
      </w:pPr>
      <w:r>
        <w:t>3. Auftragsnorm und Zeitbezug</w:t>
      </w:r>
    </w:p>
    <w:p>
      <w:r>
        <w:t>Ausgangslage: Wiederholt Paragraph 11 MStV; zwei Jahre vor Bescheiderlass.</w:t>
      </w:r>
    </w:p>
    <w:p>
      <w:r>
        <w:t>Neue Fassung: Historisch Paragraph 11 RStV beziehungsweise Paragraph 26 MStV. Betrachtung nach Rn. 40/41 mit Ende des festgesetzten Beitragszeitraums, nicht automatisch dem späteren Bescheiddatum.</w:t>
      </w:r>
    </w:p>
    <w:p>
      <w:r>
        <w:rPr>
          <w:sz w:val="18"/>
        </w:rPr>
        <w:t>Abgleich: R01; R08</w:t>
      </w:r>
    </w:p>
    <w:p>
      <w:pPr>
        <w:pStyle w:val="Heading2"/>
      </w:pPr>
      <w:r>
        <w:t>4. Unmittelbarer Datenanspruch</w:t>
      </w:r>
    </w:p>
    <w:p>
      <w:r>
        <w:t>Ausgangslage: U09/U13 leiten allgemeine Auskunftspflicht unmittelbar aus Rn. 48/50 ab.</w:t>
      </w:r>
    </w:p>
    <w:p>
      <w:r>
        <w:t>Neue Fassung: P01-P04 trennen spezielle Anspruchsnorm, wissenschaftlichen Archivzugang, freiwillige Kooperation und gerichtliche Beiziehung.</w:t>
      </w:r>
    </w:p>
    <w:p>
      <w:r>
        <w:rPr>
          <w:sz w:val="18"/>
        </w:rPr>
        <w:t>Abgleich: R01; R13-R16</w:t>
      </w:r>
    </w:p>
    <w:p>
      <w:pPr>
        <w:pStyle w:val="Heading2"/>
      </w:pPr>
      <w:r>
        <w:t>5. Beweislast und Schweigen</w:t>
      </w:r>
    </w:p>
    <w:p>
      <w:r>
        <w:t>Ausgangslage: U06 verlangt positiven Gesamtnachweis der Anstalt und behandelt Schweigen als Geständnis.</w:t>
      </w:r>
    </w:p>
    <w:p>
      <w:r>
        <w:t>Neue Fassung: A03/A04/G01 verlangen konkrete sachnahe Angaben und Aufklärung, ohne automatische Beweislastumkehr oder zivilprozessuale Geständnisfiktion.</w:t>
      </w:r>
    </w:p>
    <w:p>
      <w:r>
        <w:rPr>
          <w:sz w:val="18"/>
        </w:rPr>
        <w:t>Abgleich: R01; R03</w:t>
      </w:r>
    </w:p>
    <w:p>
      <w:pPr>
        <w:pStyle w:val="Heading2"/>
      </w:pPr>
      <w:r>
        <w:t>6. BGH VI ZR 335/24</w:t>
      </w:r>
    </w:p>
    <w:p>
      <w:r>
        <w:t>Ausgangslage: U03 verwendet die Entscheidung wie einen allgemeinen institutionellen Auskunftsanspruch.</w:t>
      </w:r>
    </w:p>
    <w:p>
      <w:r>
        <w:t>Neue Fassung: G01 begrenzt den Analogieschluss: ausdrücklicher arzneimittelrechtlicher Anspruch. Nur amtliche Mitteilung abgeglichen.</w:t>
      </w:r>
    </w:p>
    <w:p>
      <w:r>
        <w:rPr>
          <w:sz w:val="18"/>
        </w:rPr>
        <w:t>Abgleich: R09</w:t>
      </w:r>
    </w:p>
    <w:p>
      <w:pPr>
        <w:pStyle w:val="Heading2"/>
      </w:pPr>
      <w:r>
        <w:t>7. Kostenfreiheit</w:t>
      </w:r>
    </w:p>
    <w:p>
      <w:r>
        <w:t>Ausgangslage: U05/U06 versprechen pauschal Paragraph 188 oder kostenfreie Beweisanregung.</w:t>
      </w:r>
    </w:p>
    <w:p>
      <w:r>
        <w:t>Neue Fassung: Kein solches Versprechen. Kostenhinweis, gesetzliche Gebühren, Auslagen und individuelle Prozesskostenhilfe bleiben getrennt.</w:t>
      </w:r>
    </w:p>
    <w:p>
      <w:r>
        <w:rPr>
          <w:sz w:val="18"/>
        </w:rPr>
        <w:t>Abgleich: R03-R06</w:t>
      </w:r>
    </w:p>
    <w:p>
      <w:pPr>
        <w:pStyle w:val="Heading2"/>
      </w:pPr>
      <w:r>
        <w:t>8. 300-Euro-Streitwert</w:t>
      </w:r>
    </w:p>
    <w:p>
      <w:r>
        <w:t>Ausgangslage: U06 S. 110 behandelt OLG Celle 5 W 46/24 als Rundfunk-Massenverfahrens-Streitwert.</w:t>
      </w:r>
    </w:p>
    <w:p>
      <w:r>
        <w:t>Neue Fassung: Sachfremde Fundstelle entfernt: tatsächlich Datenschutzansprüche nach Cyberangriff auf Musik-Streaming-Dienst.</w:t>
      </w:r>
    </w:p>
    <w:p>
      <w:r>
        <w:rPr>
          <w:sz w:val="18"/>
        </w:rPr>
        <w:t>Abgleich: R10</w:t>
      </w:r>
    </w:p>
    <w:p>
      <w:pPr>
        <w:pStyle w:val="Heading2"/>
      </w:pPr>
      <w:r>
        <w:t>9. BVerfG 1 BvR 601/23</w:t>
      </w:r>
    </w:p>
    <w:p>
      <w:r>
        <w:t>Ausgangslage: Alte Klage verwendet den Beschluss als materielle Stütze.</w:t>
      </w:r>
    </w:p>
    <w:p>
      <w:r>
        <w:t>Neue Fassung: Nichtannahme wegen fehlender Rechtswegerschöpfung, nicht abschließende Bestätigung der behaupteten Programmverfehlung.</w:t>
      </w:r>
    </w:p>
    <w:p>
      <w:r>
        <w:rPr>
          <w:sz w:val="18"/>
        </w:rPr>
        <w:t>Abgleich: R11</w:t>
      </w:r>
    </w:p>
    <w:p>
      <w:pPr>
        <w:pStyle w:val="Heading2"/>
      </w:pPr>
      <w:r>
        <w:t>10. Beihilfen und Steuer</w:t>
      </w:r>
    </w:p>
    <w:p>
      <w:r>
        <w:t>Ausgangslage: Umstellung und Privilegien werden teils als schon deshalb unzulässig behandelt.</w:t>
      </w:r>
    </w:p>
    <w:p>
      <w:r>
        <w:t>Neue Fassung: Keine pauschale Wiederholung entgegenstehender Behauptungen. Konkrete neue Argumente benötigten einen eigenen belegten Anknüpfungspunkt.</w:t>
      </w:r>
    </w:p>
    <w:p>
      <w:r>
        <w:rPr>
          <w:sz w:val="18"/>
        </w:rPr>
        <w:t>Abgleich: R01; R12</w:t>
      </w:r>
    </w:p>
    <w:p>
      <w:pPr>
        <w:pStyle w:val="Heading2"/>
      </w:pPr>
      <w:r>
        <w:t>11. Mannheimer Entscheidung</w:t>
      </w:r>
    </w:p>
    <w:p>
      <w:r>
        <w:t>Ausgangslage: Eine reine Erfolgserzählung zur Kritik an Gutachtenhürden wäre verkürzt.</w:t>
      </w:r>
    </w:p>
    <w:p>
      <w:r>
        <w:t>Neue Fassung: A03/G01 stellen die Hürdenkritik und dennoch negative Entscheidung mit materiellen Gegenargumenten nebeneinander.</w:t>
      </w:r>
    </w:p>
    <w:p>
      <w:r>
        <w:rPr>
          <w:sz w:val="18"/>
        </w:rPr>
        <w:t>Abgleich: R02</w:t>
      </w:r>
    </w:p>
    <w:p>
      <w:pPr>
        <w:pStyle w:val="Heading2"/>
      </w:pPr>
      <w:r>
        <w:t>12. Beschwerdewirksamkeit</w:t>
      </w:r>
    </w:p>
    <w:p>
      <w:r>
        <w:t>Ausgangslage: U02 berichtet keine nach außen erkennbare Korrektur und nennt selbst Absicherungsbedarf.</w:t>
      </w:r>
    </w:p>
    <w:p>
      <w:r>
        <w:t>Neue Fassung: Keine bewiesene Null-Erfolgsquote; keine Gleichsetzung aller Beschwerden mit materiell richtigen Beanstandungen. Rohdaten und Ergebnisabgleich erforderlich.</w:t>
      </w:r>
    </w:p>
    <w:p>
      <w:r>
        <w:rPr>
          <w:sz w:val="18"/>
        </w:rPr>
        <w:t>Abgleich: U02</w:t>
      </w:r>
    </w:p>
    <w:p>
      <w:pPr>
        <w:pStyle w:val="Heading2"/>
      </w:pPr>
      <w:r>
        <w:t>13. Müller-Daten</w:t>
      </w:r>
    </w:p>
    <w:p>
      <w:r>
        <w:t>Ausgangslage: Zusammenfassung nennt 34 Prozent, Methode 772 von 2.144 Beiträgen.</w:t>
      </w:r>
    </w:p>
    <w:p>
      <w:r>
        <w:t>Neue Fassung: Eigener Rechenabgleich ergibt rund 36,0 Prozent. Nenner und Messgrößen beim Verfasser klären, Originalgutachten nicht eigenmächtig ändern.</w:t>
      </w:r>
    </w:p>
    <w:p>
      <w:r>
        <w:rPr>
          <w:sz w:val="18"/>
        </w:rPr>
        <w:t>Abgleich: U08, Zusammenfassung und Methode</w:t>
      </w:r>
    </w:p>
    <w:p>
      <w:pPr>
        <w:pStyle w:val="Heading2"/>
      </w:pPr>
      <w:r>
        <w:t>14. Vollanalyse</w:t>
      </w:r>
    </w:p>
    <w:p>
      <w:r>
        <w:t>Ausgangslage: Theorie kann als zwingende Vollerhebung verstanden werden.</w:t>
      </w:r>
    </w:p>
    <w:p>
      <w:r>
        <w:t>Neue Fassung: Gesamtprogramm als Zielpopulation; geeignete repräsentative Methode und Grenzen transparent. Keine vom BVerwG verlangte Auswertung jeder Sendesekunde.</w:t>
      </w:r>
    </w:p>
    <w:p>
      <w:r>
        <w:rPr>
          <w:sz w:val="18"/>
        </w:rPr>
        <w:t>Abgleich: U03/U04; R01</w:t>
      </w:r>
    </w:p>
    <w:p>
      <w:pPr>
        <w:pStyle w:val="Heading2"/>
      </w:pPr>
      <w:r>
        <w:t>15. Datensicherung</w:t>
      </w:r>
    </w:p>
    <w:p>
      <w:r>
        <w:t>Ausgangslage: U09/U13 verlangen unbefristete Erhaltung und werten jede Löschung als Beweisvereitelung.</w:t>
      </w:r>
    </w:p>
    <w:p>
      <w:r>
        <w:t>Neue Fassung: P06 begrenzt Bestand, Zeitraum und Zweck. Kein privater automatischer Sicherungstitel, keine pauschale Vorsatzbehauptung.</w:t>
      </w:r>
    </w:p>
    <w:p>
      <w:r>
        <w:rPr>
          <w:sz w:val="18"/>
        </w:rPr>
        <w:t>Abgleich: R03; R13-R14</w:t>
      </w:r>
    </w:p>
    <w:p>
      <w:pPr>
        <w:pStyle w:val="Heading2"/>
      </w:pPr>
      <w:r>
        <w:t>16. Sachverständiger Zeuge</w:t>
      </w:r>
    </w:p>
    <w:p>
      <w:r>
        <w:t>Ausgangslage: U12 sagt eine günstige Zeugenaussage voraus.</w:t>
      </w:r>
    </w:p>
    <w:p>
      <w:r>
        <w:t>Neue Fassung: Zuerst Bestände, eigene Wahrnehmung und Bereitschaft erfragen. Keine Rechtsfrage als Beweistatsache und keine erfundene Aussagebestätigung.</w:t>
      </w:r>
    </w:p>
    <w:p>
      <w:r>
        <w:rPr>
          <w:sz w:val="18"/>
        </w:rPr>
        <w:t>Abgleich: U12; R03</w:t>
      </w:r>
    </w:p>
    <w:p>
      <w:pPr>
        <w:pStyle w:val="Heading2"/>
      </w:pPr>
      <w:r>
        <w:t>17. Rechtskraft</w:t>
      </w:r>
    </w:p>
    <w:p>
      <w:r>
        <w:t>Ausgangslage: Neuer Auskunftsversuch erscheint als Neustart nach verlorenem Prozess.</w:t>
      </w:r>
    </w:p>
    <w:p>
      <w:r>
        <w:t>Neue Fassung: Altes Urteil bindet in seinem Umfang. Neuer konkreter Zugangsstreit kann anderer Gegenstand sein; Wiederaufgreifen und Wiederaufnahme haben besondere Voraussetzungen.</w:t>
      </w:r>
    </w:p>
    <w:p>
      <w:r>
        <w:rPr>
          <w:sz w:val="18"/>
        </w:rPr>
        <w:t>Abgleich: R03; R19</w:t>
      </w:r>
    </w:p>
    <w:p>
      <w:pPr>
        <w:pStyle w:val="Heading2"/>
      </w:pPr>
      <w:r>
        <w:t>18. 51 Gerichte</w:t>
      </w:r>
    </w:p>
    <w:p>
      <w:r>
        <w:t>Ausgangslage: Projektname und Wohnorte erscheinen als Gerichtsverteilungsplan.</w:t>
      </w:r>
    </w:p>
    <w:p>
      <w:r>
        <w:t>Neue Fassung: Jede Klageart braucht eine eigene Zuständigkeitsprüfung. Keine freie Gerichtsauswahl und keine erfundene bereits vorhandene Belegung.</w:t>
      </w:r>
    </w:p>
    <w:p>
      <w:r>
        <w:rPr>
          <w:sz w:val="18"/>
        </w:rPr>
        <w:t>Abgleich: R03; R20-R21</w:t>
      </w:r>
    </w:p>
    <w:p>
      <w:pPr>
        <w:pStyle w:val="Heading1"/>
      </w:pPr>
      <w:r>
        <w:t>3. Vor individueller Freigabe fehlende Originalbelege</w:t>
      </w:r>
    </w:p>
    <w:p>
      <w:r/>
      <w:r>
        <w:rPr>
          <w:b/>
        </w:rPr>
        <w:t>Verfahrensakte:</w:t>
      </w:r>
      <w:r>
        <w:t xml:space="preserve"> Bescheide, Widerspruch, vollständige Klage samt Zusatzanträgen, Entscheidungen aller Instanzen, Zustellungen, Kosten und Rechtsmittelstatus. Die pauschale Angabe bereits verloren reicht nicht.</w:t>
      </w:r>
    </w:p>
    <w:p>
      <w:r/>
      <w:r>
        <w:rPr>
          <w:b/>
        </w:rPr>
        <w:t>Zugangsvorgang:</w:t>
      </w:r>
      <w:r>
        <w:t xml:space="preserve"> Exakter Antrag, tatsächlicher Empfänger, Zugang, vollständige Antwort und Belehrung, Teilgewährung, Kostenangebot, Schutzgründe und Alternativen. Ausbleibende Antwort wird nicht automatisch als endgültige Ablehnung codiert.</w:t>
      </w:r>
    </w:p>
    <w:p>
      <w:r/>
      <w:r>
        <w:rPr>
          <w:b/>
        </w:rPr>
        <w:t>Empirie:</w:t>
      </w:r>
      <w:r>
        <w:t xml:space="preserve"> Original-CSV, Exporterklärung, Datenwörterbuch, Hashprüfung, eindeutige Beschwerden und Sendungen, Versand, Zugang, Antworten, Gremienentscheidungen, Korrekturen und fehlende Ergebnisse. Positive Ergebnisse werden ebenso erfasst wie Misserfolge.</w:t>
      </w:r>
    </w:p>
    <w:p>
      <w:r/>
      <w:r>
        <w:rPr>
          <w:b/>
        </w:rPr>
        <w:t>Wissenschaftlicher Zugang:</w:t>
      </w:r>
      <w:r>
        <w:t xml:space="preserve"> Verantwortliche Personen, belegte Qualifikation, tatsächlicher Plan, Rechte- und Datenschutzkonzept, echte institutionelle Anbindung nur soweit vorhanden, Nutzungsbedingungen und Finanzierung. Eine erfundene Universitätsanbindung ist kein zulässiger Zugangsschlüssel.</w:t>
      </w:r>
    </w:p>
    <w:p>
      <w:r/>
      <w:r>
        <w:rPr>
          <w:b/>
        </w:rPr>
        <w:t>Projektfreigabe:</w:t>
      </w:r>
      <w:r>
        <w:t xml:space="preserve"> Streitgegenstand, Anspruchsgrundlage, Rechtskraftabgrenzung, aktuelles Rechtsverhältnis, Gericht, Fristen, Kostenverantwortung und Unterschrift. P08 verlangt eine bewusste dokumentierte Entscheidung statt automatischer Serienfreigabe.</w:t>
      </w:r>
    </w:p>
    <w:p>
      <w:pPr>
        <w:pStyle w:val="Heading1"/>
      </w:pPr>
      <w:r>
        <w:t>4. Keine stillschweigende Veränderung der Erkenntnisbasis</w:t>
      </w:r>
    </w:p>
    <w:p>
      <w:r>
        <w:t>Die neue Fassung unterscheidet Ausgangsbehauptung, extern geprüften Rechtssatz, eigene Schlussfolgerung und geplante Untersuchung. Sie behauptet keine neuen empirischen Ergebnisse. Abweichungen von früheren Mustern werden in diesem Protokoll und in den Modulen begründet. Ein umfangreicherer Text allein macht eine fehlende Beweistatsache nicht wahr.</w:t>
      </w:r>
    </w:p>
    <w:sectPr w:rsidR="00FC693F" w:rsidRPr="0006063C" w:rsidSect="00034616">
      <w:headerReference w:type="default" r:id="rId9"/>
      <w:footerReference w:type="default" r:id="rId10"/>
      <w:pgSz w:w="11906" w:h="16838"/>
      <w:pgMar w:top="1162" w:right="1162" w:bottom="1049" w:left="1276" w:header="482"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Q02 | 2.0 | 03.10.2026 | </w:t>
    </w:r>
    <w:r>
      <w:fldChar w:fldCharType="begin"/>
    </w:r>
    <w:r>
      <w:instrText xml:space="preserve"> PAGE </w:instrText>
    </w:r>
    <w:r>
      <w:fldChar w:fldCharType="end"/>
    </w:r>
    <w:r>
      <w:rPr>
        <w:sz w:val="16"/>
      </w:rPr>
      <w:t xml:space="preserve"> / </w:t>
    </w:r>
    <w:r>
      <w:fldChar w:fldCharType="begin"/>
    </w:r>
    <w:r>
      <w:instrText xml:space="preserve"> NUMPAGES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D6872"/>
        <w:sz w:val="16"/>
      </w:rPr>
      <w:t>BEITRAGSSTOPPER  /  PROGRAMM &amp; RECHTSSCHUTZ</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2" w:lineRule="auto"/>
    </w:pPr>
    <w:rPr>
      <w:rFonts w:ascii="Calibri" w:hAnsi="Calibri"/>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80" w:after="120"/>
      <w:outlineLvl w:val="0"/>
    </w:pPr>
    <w:rPr>
      <w:rFonts w:asciiTheme="majorHAnsi" w:eastAsiaTheme="majorEastAsia" w:hAnsiTheme="majorHAnsi" w:cstheme="majorBidi" w:ascii="Calibri" w:hAnsi="Calibri"/>
      <w:b/>
      <w:bCs/>
      <w:color w:val="17212B"/>
      <w:sz w:val="32"/>
      <w:szCs w:val="28"/>
    </w:rPr>
  </w:style>
  <w:style w:type="paragraph" w:styleId="Heading2">
    <w:name w:val="heading 2"/>
    <w:basedOn w:val="Normal"/>
    <w:next w:val="Normal"/>
    <w:link w:val="Heading2Char"/>
    <w:uiPriority w:val="9"/>
    <w:unhideWhenUsed/>
    <w:qFormat/>
    <w:rsid w:val="00FC693F"/>
    <w:pPr>
      <w:keepNext/>
      <w:keepLines/>
      <w:widowControl/>
      <w:spacing w:before="280" w:after="120"/>
      <w:outlineLvl w:val="1"/>
    </w:pPr>
    <w:rPr>
      <w:rFonts w:asciiTheme="majorHAnsi" w:eastAsiaTheme="majorEastAsia" w:hAnsiTheme="majorHAnsi" w:cstheme="majorBidi" w:ascii="Calibri" w:hAnsi="Calibri"/>
      <w:b/>
      <w:bCs/>
      <w:color w:val="263747"/>
      <w:sz w:val="25"/>
      <w:szCs w:val="26"/>
    </w:rPr>
  </w:style>
  <w:style w:type="paragraph" w:styleId="Heading3">
    <w:name w:val="heading 3"/>
    <w:basedOn w:val="Normal"/>
    <w:next w:val="Normal"/>
    <w:link w:val="Heading3Char"/>
    <w:uiPriority w:val="9"/>
    <w:unhideWhenUsed/>
    <w:qFormat/>
    <w:rsid w:val="00FC693F"/>
    <w:pPr>
      <w:keepNext/>
      <w:keepLines/>
      <w:widowControl/>
      <w:spacing w:before="280" w:after="120"/>
      <w:outlineLvl w:val="2"/>
    </w:pPr>
    <w:rPr>
      <w:rFonts w:asciiTheme="majorHAnsi" w:eastAsiaTheme="majorEastAsia" w:hAnsiTheme="majorHAnsi" w:cstheme="majorBidi" w:ascii="Calibri" w:hAnsi="Calibri"/>
      <w:b/>
      <w:bCs/>
      <w:color w:val="2637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Calibri" w:hAnsi="Calibri"/>
      <w:b/>
      <w:color w:val="17212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Calibri" w:hAnsi="Calibri"/>
      <w:b w:val="0"/>
      <w:i/>
      <w:iCs/>
      <w:color w:val="535F6B"/>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Bestands- und Änderungsprüfung</dc:title>
  <dc:subject>Q02 - Version 2.0 | 03.10.2026</dc:subject>
  <dc:creator>Redaktionsfassung im Auftrag der Freiheitskanzlei</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