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Q01  |  NACHWEISREGISTER</w:t>
      </w:r>
    </w:p>
    <w:p>
      <w:pPr>
        <w:pStyle w:val="Title"/>
      </w:pPr>
      <w:r>
        <w:t>Quellenregister und Prüfgrenzen</w:t>
      </w:r>
    </w:p>
    <w:p>
      <w:pPr>
        <w:pStyle w:val="Subtitle"/>
      </w:pPr>
      <w:r>
        <w:t>Ausgangsquellen und extern geprüfte Fundstellen</w:t>
      </w:r>
    </w:p>
    <w:p>
      <w:pPr>
        <w:pStyle w:val="Heading1"/>
      </w:pPr>
      <w:r>
        <w:t>1. Bedeutung der Quellenkennzeichnungen</w:t>
      </w:r>
    </w:p>
    <w:p>
      <w:r>
        <w:t>U-Codes bezeichnen bereitgestellte Unterlagen. R-Codes bezeichnen die für diese Bearbeitung geprüften externen Primärquellen. Eine Darstellung im Ausgangsgutachten wird dadurch nicht zu einer hier erneut erhobenen Tatsache. Fehlende CSV-Dateien, Urteile und Antwortsammlungen wurden nicht rekonstruiert.</w:t>
      </w:r>
    </w:p>
    <w:p>
      <w:r>
        <w:t>Rechtsstand der redaktionellen Fassung ist der 03.10.2026. Historische Beitragszeiträume erfordern die damalige Landes- und Staatsvertragsfassung. Ein aktueller Normtext wird nicht ohne Zeitprüfung auf einen früheren Zeitraum übertragen. Vor späteren Einreichungen sind Normstand und Verfahrensgang erneut zu kontrollieren.</w:t>
      </w:r>
    </w:p>
    <w:p>
      <w:r>
        <w:t>Der Kernabgleich betrifft den amtlichen Volltext von BVerwG 6 C 5.24, die schriftliche Mannheimer Entscheidung 2 S 2529/25, die konkret bezeichneten Prozess- und Kostenregeln sowie die dokumentierten Archiv- und Zugangsbestimmungen. Bei VI ZR 335/24 wurde die amtliche BGH-Mitteilung ausgewertet. Ein vollständiger Abgleich aller Urteilsgründe wird dafür nicht behauptet. Ebenso wird keine lückenlose Verifikation jeder Rechtsprechungs- und Literaturangabe aus den mehreren hundert Seiten der Ausgangswerke behauptet.</w:t>
      </w:r>
    </w:p>
    <w:p>
      <w:r>
        <w:t>Medizinische Behauptungen der Corona-Stellungnahme werden nicht als hier fachmedizinisch bestätigt ausgegeben. Genannte Umfragen, Medienberichte und Studien sind vor Verwendung als eigenständige Tatsachenbelege am Original, an ihrer Methode und am einschlägigen Zeitraum zu prüfen.</w:t>
      </w:r>
    </w:p>
    <w:p>
      <w:pPr>
        <w:pStyle w:val="Heading1"/>
      </w:pPr>
      <w:r>
        <w:t>2. Bereitgestellte Ausgangsquellen</w:t>
      </w:r>
    </w:p>
    <w:p>
      <w:pPr>
        <w:pStyle w:val="Heading2"/>
      </w:pPr>
      <w:r>
        <w:t>U01 | 2026_06_02 Das VGutachten Version 1.3.docx</w:t>
      </w:r>
    </w:p>
    <w:p>
      <w:r>
        <w:t>V-Gutachten Version 1.3, im Dokument Stand 06.06.2026, 157 Seiten. Methodische Voranalyse, kein fertiger empirischer Gesamtprogrammnachweis.</w:t>
      </w:r>
    </w:p>
    <w:p>
      <w:pPr>
        <w:pStyle w:val="Heading2"/>
      </w:pPr>
      <w:r>
        <w:t>U02 | 2026_06_27 Gutachten_Rundfunkalarm_Programmbeschwerden_gerichtsfassung.docx</w:t>
      </w:r>
    </w:p>
    <w:p>
      <w:r>
        <w:t>Programmbeschwerdegutachten, gerichtliche Fassung 27.06.2026, 30 Seiten. Referierte CSV und Ergebnisbestände liegen nicht vollständig als Originaldaten vor.</w:t>
      </w:r>
    </w:p>
    <w:p>
      <w:pPr>
        <w:pStyle w:val="Heading2"/>
      </w:pPr>
      <w:r>
        <w:t>U03 | 2026_07_16 Kurz-Gutachten.docx</w:t>
      </w:r>
    </w:p>
    <w:p>
      <w:r>
        <w:t>Kurzgutachten 16.07.2026, 18 Seiten. Erkenntnis- und Prozessfragen; der erwähnte konkrete HR-Schriftsatz ist nicht automatisch Beleg jedes anderen Falls.</w:t>
      </w:r>
    </w:p>
    <w:p>
      <w:pPr>
        <w:pStyle w:val="Heading2"/>
      </w:pPr>
      <w:r>
        <w:t>U04 | 2026_07_16_Wissenschaftliche_Grundlagenuntersuchung_Rundfunkbeitrag.docx</w:t>
      </w:r>
    </w:p>
    <w:p>
      <w:r>
        <w:t>Grundlagenuntersuchung 16.07.2026, 206 Seiten. Theorie institutioneller Lebenssachverhalte, keine eigenständige empirische Erhebung.</w:t>
      </w:r>
    </w:p>
    <w:p>
      <w:pPr>
        <w:pStyle w:val="Heading2"/>
      </w:pPr>
      <w:r>
        <w:t>U05 | 1. KLAGE DECKBLATT.odt</w:t>
      </w:r>
    </w:p>
    <w:p>
      <w:r>
        <w:t>Alter dreiseitiger Antragsteil mit Unterschrift und zusätzlichen Feststellungs-, Kosten- und Beweislastformulierungen.</w:t>
      </w:r>
    </w:p>
    <w:p>
      <w:pPr>
        <w:pStyle w:val="Heading2"/>
      </w:pPr>
      <w:r>
        <w:t>U06 | 3. Klageschrift.odt</w:t>
      </w:r>
    </w:p>
    <w:p>
      <w:r>
        <w:t>Alte Klage, 111 Seiten. S. 110 ist besonders relevant für Zusatzanträge und sachfremde Streitwertfundstelle.</w:t>
      </w:r>
    </w:p>
    <w:p>
      <w:pPr>
        <w:pStyle w:val="Heading2"/>
      </w:pPr>
      <w:r>
        <w:t>U07 | 2. Inhaltsverzeichnis.odt</w:t>
      </w:r>
    </w:p>
    <w:p>
      <w:r>
        <w:t>Zweiseitiges Inhalts- und Anlagenverzeichnis der alten Klage.</w:t>
      </w:r>
    </w:p>
    <w:p>
      <w:pPr>
        <w:pStyle w:val="Heading2"/>
      </w:pPr>
      <w:r>
        <w:t>U08 | Gutachterliche Stellungnahme.pdf</w:t>
      </w:r>
    </w:p>
    <w:p>
      <w:r>
        <w:t>Prof. Dr. Werner Müller, 03.03.2026, 134 PDF-Seiten. Tagesschau 20 Uhr, Januar-August 2020. Eigene Autorenschaft und begrenzter Untersuchungsgegenstand bleiben erhalten.</w:t>
      </w:r>
    </w:p>
    <w:p>
      <w:pPr>
        <w:pStyle w:val="Heading2"/>
      </w:pPr>
      <w:r>
        <w:t>U09 | 176823287949711-Muster_Antrag_auf_Auskunft_an_ÖRR.pdf</w:t>
      </w:r>
    </w:p>
    <w:p>
      <w:r>
        <w:t>Dreiseitiges Auskunfts- und Sicherungsmuster von Dr. Harald von Herget, 2025. Unmittelbare Anspruchsherleitung aus Rn. 48/50 wird nicht übernommen.</w:t>
      </w:r>
    </w:p>
    <w:p>
      <w:pPr>
        <w:pStyle w:val="Heading2"/>
      </w:pPr>
      <w:r>
        <w:t>U10 | Anleitung für Anfrage an LRA, ZDF, Deutschlandfunk.docx</w:t>
      </w:r>
    </w:p>
    <w:p>
      <w:r>
        <w:t>Vierseitiger Verwendungstext. Aussagen zur automatischen Verfahrensblockade und Beweislastverschiebung werden berichtigt.</w:t>
      </w:r>
    </w:p>
    <w:p>
      <w:pPr>
        <w:pStyle w:val="Heading2"/>
      </w:pPr>
      <w:r>
        <w:t>U11 | 03_Versand_und_Fristen_Pruefblatt.docx</w:t>
      </w:r>
    </w:p>
    <w:p>
      <w:r>
        <w:t>Individuelles Prüfblatt für Rolf Kron, M 6 K 26.5489, 23.09.2026. Kein allgemeines Anschreiben und keine vollständige Gerichtsakte.</w:t>
      </w:r>
    </w:p>
    <w:p>
      <w:pPr>
        <w:pStyle w:val="Heading2"/>
      </w:pPr>
      <w:r>
        <w:t>U12 | Beweisantrag Gericht.docx</w:t>
      </w:r>
    </w:p>
    <w:p>
      <w:r>
        <w:t>Zweiseitiger Beweisantrag mit benanntem sachverständigem Zeugen. Dessen Kenntnisse und Aussagebereitschaft sind damit nicht bestätigt.</w:t>
      </w:r>
    </w:p>
    <w:p>
      <w:pPr>
        <w:pStyle w:val="Heading2"/>
      </w:pPr>
      <w:r>
        <w:t>U13 | Musterschreiben ARD, ZDF und Deutschlandfunk.docx</w:t>
      </w:r>
    </w:p>
    <w:p>
      <w:r>
        <w:t>Dreiseitiger Mustertext; ZDF ausformuliert, Deutschlandradio und LRA nicht in gleicher Tiefe. Drei neue selbständige Anfragen in P01-P03.</w:t>
      </w:r>
    </w:p>
    <w:p>
      <w:pPr>
        <w:pStyle w:val="Heading2"/>
      </w:pPr>
      <w:r>
        <w:t>U14 | Archiv Plan 51.zip</w:t>
      </w:r>
    </w:p>
    <w:p>
      <w:r>
        <w:t>Archiv Plan 51.zip. Verschiedene Strategie-, Feststellungs- und Leistungsvarianten, Archivmuster und Gutachten-Doppeldateien; nicht als ein einziger konsistenter Plan behandelt.</w:t>
      </w:r>
    </w:p>
    <w:p>
      <w:pPr>
        <w:pStyle w:val="Heading2"/>
      </w:pPr>
      <w:r>
        <w:t>U15 | Analyse Gutachten Corona.docx</w:t>
      </w:r>
    </w:p>
    <w:p>
      <w:r>
        <w:t>Achtseitiger vorheriger Analyse-/Chattext zur Corona-Stellungnahme. Keine unabhängige medienwissenschaftliche Primäruntersuchung.</w:t>
      </w:r>
    </w:p>
    <w:p>
      <w:pPr>
        <w:pStyle w:val="Heading1"/>
      </w:pPr>
      <w:r>
        <w:t>3. Externe Primärquellen</w:t>
      </w:r>
    </w:p>
    <w:p>
      <w:pPr>
        <w:pStyle w:val="Heading2"/>
      </w:pPr>
      <w:r>
        <w:t>R01 | BVerwG, Urteil vom 15.10.2025 - 6 C 5.24</w:t>
      </w:r>
    </w:p>
    <w:p>
      <w:r>
        <w:t>Amtlicher Volltext; insbesondere Rn. 21-50. Kein allgemeiner Auskunftsanspruch; verfassungsrechtliche Evidenzkontrolle, Gesamtangebot, Zeitraum und Substantiierung.</w:t>
      </w:r>
    </w:p>
    <w:p>
      <w:r>
        <w:rPr>
          <w:sz w:val="18"/>
        </w:rPr>
        <w:t>https://www.bverwg.de/151025U6C5.24.0</w:t>
      </w:r>
    </w:p>
    <w:p>
      <w:pPr>
        <w:pStyle w:val="Heading2"/>
      </w:pPr>
      <w:r>
        <w:t>R02 | VGH Baden-Württemberg, Urteil aufgrund Verhandlung vom 14.04.2026 - 2 S 2529/25</w:t>
      </w:r>
    </w:p>
    <w:p>
      <w:r>
        <w:t>Amtliche Entscheidungs-PDF, 43 Seiten. Insbesondere S. 14-28 zu materiellen Gegenargumenten sowie S. 30-32 zur Kritik an der Gutachtenhürde. Berufung zurückgewiesen, Revision nicht zugelassen; weiterer Verfahrensgang hier nicht verifiziert.</w:t>
      </w:r>
    </w:p>
    <w:p>
      <w:r>
        <w:rPr>
          <w:sz w:val="18"/>
        </w:rPr>
        <w:t>https://verwaltungsgerichtshof-baden-wuerttemberg.justiz-bw.de/pb/site/pbs-bw-rebrush-jum/get/documents_E-1983769261/jum1/JuM/VGH/Presse/Entscheidungen/2s2529.25u.pdf</w:t>
      </w:r>
    </w:p>
    <w:p>
      <w:pPr>
        <w:pStyle w:val="Heading2"/>
      </w:pPr>
      <w:r>
        <w:t>R03 | Verwaltungsgerichtsordnung</w:t>
      </w:r>
    </w:p>
    <w:p>
      <w:r>
        <w:t>Amtlicher konsolidierter Gesetzestext; insbesondere §§ 42, 43, 52, 58, 60, 67, 74, 75, 81, 82, 84, 86, 88, 94, 98-101, 108, 113, 121, 123, 124a, 153, 154, 161, 166, 173, 188. Anwendung stets nach konkreter Prozesslage.</w:t>
      </w:r>
    </w:p>
    <w:p>
      <w:r>
        <w:rPr>
          <w:sz w:val="18"/>
        </w:rPr>
        <w:t>https://www.gesetze-im-internet.de/vwgo/BJNR000170960.html</w:t>
      </w:r>
    </w:p>
    <w:p>
      <w:pPr>
        <w:pStyle w:val="Heading2"/>
      </w:pPr>
      <w:r>
        <w:t>R04 | Gerichtskostengesetz</w:t>
      </w:r>
    </w:p>
    <w:p>
      <w:r>
        <w:t>Amtlicher Gesetzestext, insbesondere §§ 39, 45, 52, 63 und Anlagen 1/2. Kein pauschaler 300-Euro-Streitwert für Rundfunk-Massenverfahren.</w:t>
      </w:r>
    </w:p>
    <w:p>
      <w:r>
        <w:rPr>
          <w:sz w:val="18"/>
        </w:rPr>
        <w:t>https://www.gesetze-im-internet.de/gkg_2004/</w:t>
      </w:r>
    </w:p>
    <w:p>
      <w:pPr>
        <w:pStyle w:val="Heading2"/>
      </w:pPr>
      <w:r>
        <w:t>R05 | GKG, Anlage 2</w:t>
      </w:r>
    </w:p>
    <w:p>
      <w:r>
        <w:t>Gebührentabelle: bis 5.000 Euro Streitwert eine Gebühr von 170,50 Euro. Geprüfter Tabellenstand am 03.10.2026.</w:t>
      </w:r>
    </w:p>
    <w:p>
      <w:r>
        <w:rPr>
          <w:sz w:val="18"/>
        </w:rPr>
        <w:t>https://www.gesetze-im-internet.de/gkg_2004/anlage_2.html</w:t>
      </w:r>
    </w:p>
    <w:p>
      <w:pPr>
        <w:pStyle w:val="Heading2"/>
      </w:pPr>
      <w:r>
        <w:t>R06 | GKG, Anlage 1, KV 5110</w:t>
      </w:r>
    </w:p>
    <w:p>
      <w:r>
        <w:t>Allgemeines Verfahren vor dem Verwaltungsgericht: 3,0 Gebühren; Ermäßigungen nur nach gesetzlichen Voraussetzungen.</w:t>
      </w:r>
    </w:p>
    <w:p>
      <w:r>
        <w:rPr>
          <w:sz w:val="18"/>
        </w:rPr>
        <w:t>https://www.gesetze-im-internet.de/gkg_2004/anlage_1.html</w:t>
      </w:r>
    </w:p>
    <w:p>
      <w:pPr>
        <w:pStyle w:val="Heading2"/>
      </w:pPr>
      <w:r>
        <w:t>R07 | Rundfunkbeitragsstaatsvertrag, amtliche NRW-Fassung</w:t>
      </w:r>
    </w:p>
    <w:p>
      <w:r>
        <w:t>Insbesondere § 2 Abs. 1, § 10 Abs. 5 und 7, § 10a. Für einen konkreten historischen Beitragszeitraum die damalige Landesfassung dokumentieren.</w:t>
      </w:r>
    </w:p>
    <w:p>
      <w:r>
        <w:rPr>
          <w:sz w:val="18"/>
        </w:rPr>
        <w:t>https://recht.nrw.de/lrgv/bekanntmachung/07112020-rundfunkbeitragsstaatsvertrag/</w:t>
      </w:r>
    </w:p>
    <w:p>
      <w:pPr>
        <w:pStyle w:val="Heading2"/>
      </w:pPr>
      <w:r>
        <w:t>R08 | Medienstaatsvertrag, § 26, NI-VORIS</w:t>
      </w:r>
    </w:p>
    <w:p>
      <w:r>
        <w:t>Amtliches Landesportal, aktuelle Fassung ab 01.12.2025 und auswählbare Vorfassungen. Für Zeiträume vor 07.11.2020 ist nicht § 11 MStV, sondern die damalige RStV-Fassung zu prüfen.</w:t>
      </w:r>
    </w:p>
    <w:p>
      <w:r>
        <w:rPr>
          <w:sz w:val="18"/>
        </w:rPr>
        <w:t>https://voris.wolterskluwer-online.de/browse/document/53bc259e-02ea-33cd-b698-f53eb97a1d87</w:t>
      </w:r>
    </w:p>
    <w:p>
      <w:pPr>
        <w:pStyle w:val="Heading2"/>
      </w:pPr>
      <w:r>
        <w:t>R09 | BGH, Pressemitteilung 045/2026 zu VI ZR 335/24 vom 09.03.2026</w:t>
      </w:r>
    </w:p>
    <w:p>
      <w:r>
        <w:t>Amtliche Mitteilung zu arzneimittelrechtlicher Auskunft/Haftung, insbesondere § 84a AMG. In dieser Prüfung kein vollständiger Abgleich aller Entscheidungsgründe; kein Beleg eines allgemeinen rundfunkrechtlichen Datenzugangs.</w:t>
      </w:r>
    </w:p>
    <w:p>
      <w:r>
        <w:rPr>
          <w:sz w:val="18"/>
        </w:rPr>
        <w:t>https://www.bundesgerichtshof.de/SharedDocs/Pressemitteilungen/DE/2026/2026045.html</w:t>
      </w:r>
    </w:p>
    <w:p>
      <w:pPr>
        <w:pStyle w:val="Heading2"/>
      </w:pPr>
      <w:r>
        <w:t>R10 | OLG Celle, Beschluss vom 10.06.2024 - 5 W 46/24</w:t>
      </w:r>
    </w:p>
    <w:p>
      <w:r>
        <w:t>Amtliches NI-VORIS: Streitwert von Datenschutzansprüchen nach Cyberangriff auf einen Musik-Streaming-Dienst. Nicht Rundfunkbeitragsrecht.</w:t>
      </w:r>
    </w:p>
    <w:p>
      <w:r>
        <w:rPr>
          <w:sz w:val="18"/>
        </w:rPr>
        <w:t>https://voris.wolterskluwer-online.de/browse/document/72c4c91d-1db4-4ed1-b51e-512f7a1b71cc</w:t>
      </w:r>
    </w:p>
    <w:p>
      <w:pPr>
        <w:pStyle w:val="Heading2"/>
      </w:pPr>
      <w:r>
        <w:t>R11 | BVerfG, Beschluss vom 24.04.2023 - 1 BvR 601/23</w:t>
      </w:r>
    </w:p>
    <w:p>
      <w:r>
        <w:t>Nichtannahme wegen fehlender Rechtswegerschöpfung; keine abschließende Sachentscheidung zur behaupteten Programmschieflage.</w:t>
      </w:r>
    </w:p>
    <w:p>
      <w:r>
        <w:rPr>
          <w:sz w:val="18"/>
        </w:rPr>
        <w:t>https://www.bundesverfassungsgericht.de/SharedDocs/Entscheidungen/DE/2023/04/rk20230424_1bvr060123.html</w:t>
      </w:r>
    </w:p>
    <w:p>
      <w:pPr>
        <w:pStyle w:val="Heading2"/>
      </w:pPr>
      <w:r>
        <w:t>R12 | EuGH, Urteil vom 13.12.2018 - C-492/17, amtlicher Tenor</w:t>
      </w:r>
    </w:p>
    <w:p>
      <w:r>
        <w:t>Umstellung von Rundfunkgebühr auf Rundfunkbeitrag ist nicht allein eine notifizierungspflichtige Beihilfeänderung; auch privilegierte Vollstreckungsbefugnisse nicht schon deshalb unzulässig.</w:t>
      </w:r>
    </w:p>
    <w:p>
      <w:r>
        <w:rPr>
          <w:sz w:val="18"/>
        </w:rPr>
        <w:t>https://curia.europa.eu/juris/document/document.jsf?docid=210895&amp;doclang=DE</w:t>
      </w:r>
    </w:p>
    <w:p>
      <w:pPr>
        <w:pStyle w:val="Heading2"/>
      </w:pPr>
      <w:r>
        <w:t>R13 | ARD: Archivzugang für Wissenschaft und Forschung</w:t>
      </w:r>
    </w:p>
    <w:p>
      <w:r>
        <w:t>Aktuelle offizielle Beschreibung: dezentrale Archive; kein zentrales Archiv sämtlicher ARD-Beiträge; TV weitgehend, Radio selektiv archiviert; Beratung und Vor-Ort-Recherche grundsätzlich kostenfrei. Bedingungen der konkreten Nutzung gesondert.</w:t>
      </w:r>
    </w:p>
    <w:p>
      <w:r>
        <w:rPr>
          <w:sz w:val="18"/>
        </w:rPr>
        <w:t>https://www.ard.de/die-ard/presse-kontakt/archive/archivzugang-fuer-wissenschaft-und-forschung-100.html</w:t>
      </w:r>
    </w:p>
    <w:p>
      <w:pPr>
        <w:pStyle w:val="Heading2"/>
      </w:pPr>
      <w:r>
        <w:t>R14 | DRA: Regelungen zum Archivzugang</w:t>
      </w:r>
    </w:p>
    <w:p>
      <w:r>
        <w:t>Auf offizieller DRA-Seite angebotene gemeinsame Regelungen, vier Seiten: wissenschaftliche Legitimation, Bestätigung, Zugangsvoraussetzungen, Rechte Dritter und begrenzte Nutzung. Kein pauschaler Anspruch auf Datenexport.</w:t>
      </w:r>
    </w:p>
    <w:p>
      <w:r>
        <w:rPr>
          <w:sz w:val="18"/>
        </w:rPr>
        <w:t>https://www.dra.de/fileadmin/www.dra.de/downloads/unser-service-fuer-sie/Regelungen_zum_Archivzugang.pdf</w:t>
      </w:r>
    </w:p>
    <w:p>
      <w:pPr>
        <w:pStyle w:val="Heading2"/>
      </w:pPr>
      <w:r>
        <w:t>R15 | WDR-Gesetz, Fassung ab 01.04.2026, § 55a</w:t>
      </w:r>
    </w:p>
    <w:p>
      <w:r>
        <w:t>Informationsfreiheitsgesetz NRW gilt für WDR, jedoch mit ausdrücklichen Ausnahmen unter anderem für journalistisch-redaktionelle Informationen. Nicht auf alle Anstalten übertragbar.</w:t>
      </w:r>
    </w:p>
    <w:p>
      <w:r>
        <w:rPr>
          <w:sz w:val="18"/>
        </w:rPr>
        <w:t>https://recht.nrw.de/lrgv/gesetz/01042026-gesetz-ueber-den-westdeutschen-rundfunk-koeln/</w:t>
      </w:r>
    </w:p>
    <w:p>
      <w:pPr>
        <w:pStyle w:val="Heading2"/>
      </w:pPr>
      <w:r>
        <w:t>R16 | Rheinland-Pfalz: Verwaltungsvorschrift zum Landestransparenzgesetz</w:t>
      </w:r>
    </w:p>
    <w:p>
      <w:r>
        <w:t>Offizielles Transparenzportal, Ziffer 3.8 zu § 3 Abs. 7 LTranspG. Sonderstellung öffentlich-rechtlicher Rundfunkanstalten; daher kein unbesehen auf das ZDF übertragbarer NRW-IFG-Anspruch.</w:t>
      </w:r>
    </w:p>
    <w:p>
      <w:r>
        <w:rPr>
          <w:sz w:val="18"/>
        </w:rPr>
        <w:t>https://open.rlp.de/fileadmin/open.rlp/Downloads/Transparenz/VV_TranspG_RP.pdf</w:t>
      </w:r>
    </w:p>
    <w:p>
      <w:pPr>
        <w:pStyle w:val="Heading2"/>
      </w:pPr>
      <w:r>
        <w:t>R17 | BVerwG, Beschluss vom 08.08.2024 - 9 B 8.24</w:t>
      </w:r>
    </w:p>
    <w:p>
      <w:r>
        <w:t>Fallbezogene Grenzen der Subsidiarität der Feststellungsklage. Keine generelle Erlaubnis zur isolierten Klärung abstrakter Beweisfragen.</w:t>
      </w:r>
    </w:p>
    <w:p>
      <w:r>
        <w:rPr>
          <w:sz w:val="18"/>
        </w:rPr>
        <w:t>https://www.bverwg.de/de/080824B9B8.24.0</w:t>
      </w:r>
    </w:p>
    <w:p>
      <w:pPr>
        <w:pStyle w:val="Heading2"/>
      </w:pPr>
      <w:r>
        <w:t>R18 | BVerwG, Beschluss vom 14.02.2011 - 7 B 49.10</w:t>
      </w:r>
    </w:p>
    <w:p>
      <w:r>
        <w:t>Zwischenfeststellung im Zusammenhang mit einem bestehenden Hauptverfahren; eigenständiges präjudizielles Rechtsverhältnis erforderlich.</w:t>
      </w:r>
    </w:p>
    <w:p>
      <w:r>
        <w:rPr>
          <w:sz w:val="18"/>
        </w:rPr>
        <w:t>https://www.bverwg.de/de/140211B7B49.10.0</w:t>
      </w:r>
    </w:p>
    <w:p>
      <w:pPr>
        <w:pStyle w:val="Heading2"/>
      </w:pPr>
      <w:r>
        <w:t>R19 | BVerwG, Urteil vom 14.06.2017 - 8 C 7.16</w:t>
      </w:r>
    </w:p>
    <w:p>
      <w:r>
        <w:t>Wiederaufgreifen und Rechtskraft nur unter den jeweiligen besonderen gesetzlichen Voraussetzungen; nicht durch bloß neues Gutachten garantiert.</w:t>
      </w:r>
    </w:p>
    <w:p>
      <w:r>
        <w:rPr>
          <w:sz w:val="18"/>
        </w:rPr>
        <w:t>https://www.bverwg.de/de/140617U8C7.16.0</w:t>
      </w:r>
    </w:p>
    <w:p>
      <w:pPr>
        <w:pStyle w:val="Heading2"/>
      </w:pPr>
      <w:r>
        <w:t>R20 | BVerwG: Aufbau der Verwaltungsgerichtsbarkeit</w:t>
      </w:r>
    </w:p>
    <w:p>
      <w:r>
        <w:t>Offizielle Übersicht nennt 51 Verwaltungsgerichte. Kein Beleg einer Zuständigkeit aller 51 Gerichte für gleichartige isolierte Feststellungsklagen.</w:t>
      </w:r>
    </w:p>
    <w:p>
      <w:r>
        <w:rPr>
          <w:sz w:val="18"/>
        </w:rPr>
        <w:t>https://www.bverwg.de/rechtsprechung/verwaltungsgerichtsbarkeit/aufbau-der-verwaltungsgerichtsbarkeit</w:t>
      </w:r>
    </w:p>
    <w:p>
      <w:pPr>
        <w:pStyle w:val="Heading2"/>
      </w:pPr>
      <w:r>
        <w:t>R21 | BVerwG, Beschluss vom 03.09.2024 - 6 AV 2.24</w:t>
      </w:r>
    </w:p>
    <w:p>
      <w:r>
        <w:t>Rundfunkbeitragsrecht und örtliche Zuständigkeit bei mehreren Wohnsitzen; § 52 Nr. 3 und Nr. 5 VwGO.</w:t>
      </w:r>
    </w:p>
    <w:p>
      <w:r>
        <w:rPr>
          <w:sz w:val="18"/>
        </w:rPr>
        <w:t>https://ssl.bverwg.de/de/030924B6AV2.24.0</w:t>
      </w:r>
    </w:p>
    <w:p>
      <w:pPr>
        <w:pStyle w:val="Heading2"/>
      </w:pPr>
      <w:r>
        <w:t>R22 | Grundgesetz</w:t>
      </w:r>
    </w:p>
    <w:p>
      <w:r>
        <w:t>Insbesondere Art. 2 Abs. 1, Art. 3 Abs. 1, Art. 5 Abs. 1 und 3, Art. 19 Abs. 4, Art. 100 Abs. 1. Normtexte von den jeweils nur vorgeschlagenen Ableitungen unterscheiden.</w:t>
      </w:r>
    </w:p>
    <w:p>
      <w:r>
        <w:rPr>
          <w:sz w:val="18"/>
        </w:rPr>
        <w:t>https://www.gesetze-im-internet.de/gg/</w:t>
      </w:r>
    </w:p>
    <w:p>
      <w:pPr>
        <w:pStyle w:val="Heading2"/>
      </w:pPr>
      <w:r>
        <w:t>R23 | ZDF: Impressum und Kontakt</w:t>
      </w:r>
    </w:p>
    <w:p>
      <w:r>
        <w:t>Offizielle Anschrift und Archivkontakt, geprüft am 03.10.2026; keine personenbezogene Amtsinhaberschaft für die Musterschreiben vorausgesetzt.</w:t>
      </w:r>
    </w:p>
    <w:p>
      <w:r>
        <w:rPr>
          <w:sz w:val="18"/>
        </w:rPr>
        <w:t>https://www.zdf.de/kontakt</w:t>
      </w:r>
    </w:p>
    <w:p>
      <w:pPr>
        <w:pStyle w:val="Heading2"/>
      </w:pPr>
      <w:r>
        <w:t>R24 | Deutschlandradio: eigenes Karriereportal, Impressum</w:t>
      </w:r>
    </w:p>
    <w:p>
      <w:r>
        <w:t>Körperschaft des öffentlichen Rechts; Raderberggürtel 40, 50968 Köln. Nicht mit der rechtlich gesonderten Service GmbH verwechseln.</w:t>
      </w:r>
    </w:p>
    <w:p>
      <w:r>
        <w:rPr>
          <w:sz w:val="18"/>
        </w:rPr>
        <w:t>https://deutschlandradio.softgarden.io/de/imprint</w:t>
      </w:r>
    </w:p>
    <w:p>
      <w:pPr>
        <w:pStyle w:val="Heading1"/>
      </w:pPr>
      <w:r>
        <w:t>4. Anlagen und Quellen sind nicht identisch</w:t>
      </w:r>
    </w:p>
    <w:p>
      <w:r>
        <w:t>Das Register behauptet nicht, alle Quellen seien bereits bei einem Gericht eingereicht. Jede konkrete Klage braucht ein Verzeichnis der tatsächlich beigefügten Anlagen. Umfangreiche Werke werden mit genauen Seiten, Abschnitten und Beweisbehauptungen eingeführt. Fremde Gutachten behalten Titel und Verfasser.</w:t>
      </w:r>
    </w:p>
    <w:p>
      <w:r>
        <w:t>Die Quellencodes erlauben redaktionelle Nachverfolgung. In einer individualisierten Gerichtsfassung sind Tatsachenbehauptungen mit konkreten Anlagen zu verbinden. Ein Link ersetzt nicht die Sicherung des benötigten Programminhalts, einer bestimmten Archivantwort oder eines historischen Normtextes. Die rechtlichen Ableitungen in P13 sind als eigener Vorschlag gekennzeichnet, nicht als bereits bestehender Rechtssatz ausgegeben.</w:t>
      </w:r>
    </w:p>
    <w:sectPr w:rsidR="00FC693F" w:rsidRPr="0006063C" w:rsidSect="00034616">
      <w:headerReference w:type="default" r:id="rId9"/>
      <w:footerReference w:type="default" r:id="rId10"/>
      <w:pgSz w:w="11906" w:h="16838"/>
      <w:pgMar w:top="1162" w:right="1162" w:bottom="1049" w:left="1276" w:header="482"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Q01 | 2.0 | 03.10.2026 | </w:t>
    </w:r>
    <w:r>
      <w:fldChar w:fldCharType="begin"/>
    </w:r>
    <w:r>
      <w:instrText xml:space="preserve"> PAGE </w:instrText>
    </w:r>
    <w:r>
      <w:fldChar w:fldCharType="end"/>
    </w:r>
    <w:r>
      <w:rPr>
        <w:sz w:val="16"/>
      </w:rPr>
      <w:t xml:space="preserve"> / </w:t>
    </w:r>
    <w:r>
      <w:fldChar w:fldCharType="begin"/>
    </w:r>
    <w:r>
      <w:instrText xml:space="preserve"> NUMPAGES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D6872"/>
        <w:sz w:val="16"/>
      </w:rPr>
      <w:t>BEITRAGSSTOPPER  /  PROGRAMM &amp; RECHTSSCHUTZ</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2" w:lineRule="auto"/>
    </w:pPr>
    <w:rPr>
      <w:rFonts w:ascii="Calibri" w:hAnsi="Calibri"/>
      <w:color w:val="20252A"/>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80" w:after="120"/>
      <w:outlineLvl w:val="0"/>
    </w:pPr>
    <w:rPr>
      <w:rFonts w:asciiTheme="majorHAnsi" w:eastAsiaTheme="majorEastAsia" w:hAnsiTheme="majorHAnsi" w:cstheme="majorBidi" w:ascii="Calibri" w:hAnsi="Calibri"/>
      <w:b/>
      <w:bCs/>
      <w:color w:val="17212B"/>
      <w:sz w:val="32"/>
      <w:szCs w:val="28"/>
    </w:rPr>
  </w:style>
  <w:style w:type="paragraph" w:styleId="Heading2">
    <w:name w:val="heading 2"/>
    <w:basedOn w:val="Normal"/>
    <w:next w:val="Normal"/>
    <w:link w:val="Heading2Char"/>
    <w:uiPriority w:val="9"/>
    <w:unhideWhenUsed/>
    <w:qFormat/>
    <w:rsid w:val="00FC693F"/>
    <w:pPr>
      <w:keepNext/>
      <w:keepLines/>
      <w:widowControl/>
      <w:spacing w:before="280" w:after="120"/>
      <w:outlineLvl w:val="1"/>
    </w:pPr>
    <w:rPr>
      <w:rFonts w:asciiTheme="majorHAnsi" w:eastAsiaTheme="majorEastAsia" w:hAnsiTheme="majorHAnsi" w:cstheme="majorBidi" w:ascii="Calibri" w:hAnsi="Calibri"/>
      <w:b/>
      <w:bCs/>
      <w:color w:val="263747"/>
      <w:sz w:val="25"/>
      <w:szCs w:val="26"/>
    </w:rPr>
  </w:style>
  <w:style w:type="paragraph" w:styleId="Heading3">
    <w:name w:val="heading 3"/>
    <w:basedOn w:val="Normal"/>
    <w:next w:val="Normal"/>
    <w:link w:val="Heading3Char"/>
    <w:uiPriority w:val="9"/>
    <w:unhideWhenUsed/>
    <w:qFormat/>
    <w:rsid w:val="00FC693F"/>
    <w:pPr>
      <w:keepNext/>
      <w:keepLines/>
      <w:widowControl/>
      <w:spacing w:before="280" w:after="120"/>
      <w:outlineLvl w:val="2"/>
    </w:pPr>
    <w:rPr>
      <w:rFonts w:asciiTheme="majorHAnsi" w:eastAsiaTheme="majorEastAsia" w:hAnsiTheme="majorHAnsi" w:cstheme="majorBidi" w:ascii="Calibri" w:hAnsi="Calibri"/>
      <w:b/>
      <w:bCs/>
      <w:color w:val="26374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Calibri" w:hAnsi="Calibri"/>
      <w:b/>
      <w:color w:val="17212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Calibri" w:hAnsi="Calibri"/>
      <w:b w:val="0"/>
      <w:i/>
      <w:iCs/>
      <w:color w:val="535F6B"/>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Quellenregister und Prüfgrenzen</dc:title>
  <dc:subject>Q01 - Version 2.0 | 03.10.2026</dc:subject>
  <dc:creator>Redaktionsfassung im Auftrag der Freiheitskanzlei</dc:creator>
  <cp:keywords/>
  <dc:description>KI-unterstuetzt erstellte Arbeitsfassung. Verantwortliche Uebernahme und Einzelfallpruefung erforderlich.</dc:description>
  <cp:lastModifiedBy/>
  <cp:revision>1</cp:revision>
  <dcterms:created xsi:type="dcterms:W3CDTF">2013-12-23T23:15:00Z</dcterms:created>
  <dcterms:modified xsi:type="dcterms:W3CDTF">2013-12-23T23:15:00Z</dcterms:modified>
  <cp:category/>
</cp:coreProperties>
</file>