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P12  |  Stabile Modul- und Abschnittsverweise</w:t>
      </w:r>
    </w:p>
    <w:p>
      <w:pPr>
        <w:pStyle w:val="Title"/>
      </w:pPr>
      <w:r>
        <w:t>Verzeichnis der Feststellungsklage</w:t>
      </w:r>
    </w:p>
    <w:p>
      <w:pPr>
        <w:pStyle w:val="Subtitle"/>
      </w:pPr>
      <w:r>
        <w:t>Projekt 51 | Eindeutige Trennung der alten Beitrags- und neuen Zugangsfrage</w:t>
      </w:r>
    </w:p>
    <w:p>
      <w:r>
        <w:t>P10 Deckblatt. P11 Antrag und Unterschrift. P12 Dieses Verzeichnis. P13 Begründung der Pilot-Feststellungsklage. G01 Gemeinsame privatgutachterliche Stellungnahme, soweit tatsächlich beigefügt. PF1-PF8 Individuelle Originalanlagen.</w:t>
      </w:r>
    </w:p>
    <w:p>
      <w:pPr>
        <w:spacing w:after="140"/>
      </w:pPr>
      <w:r>
        <w:t>P13.1 Konkretes Ziel und unvermeidbare Zulässigkeitsfrage.</w:t>
      </w:r>
    </w:p>
    <w:p>
      <w:pPr>
        <w:spacing w:after="140"/>
      </w:pPr>
      <w:r>
        <w:t>P13.2 Individueller Ablauf.</w:t>
      </w:r>
    </w:p>
    <w:p>
      <w:pPr>
        <w:spacing w:after="140"/>
      </w:pPr>
      <w:r>
        <w:t>P13.3 Gegenwärtiges Rechtsverhältnis.</w:t>
      </w:r>
    </w:p>
    <w:p>
      <w:pPr>
        <w:spacing w:after="140"/>
      </w:pPr>
      <w:r>
        <w:t>P13.4 Berechtigtes Feststellungsinteresse.</w:t>
      </w:r>
    </w:p>
    <w:p>
      <w:pPr>
        <w:spacing w:after="140"/>
      </w:pPr>
      <w:r>
        <w:t>P13.5 Subsidiarität.</w:t>
      </w:r>
    </w:p>
    <w:p>
      <w:pPr>
        <w:spacing w:after="140"/>
      </w:pPr>
      <w:r>
        <w:t>P13.6 Rechtskraft und neue Vorgänge.</w:t>
      </w:r>
    </w:p>
    <w:p>
      <w:pPr>
        <w:spacing w:after="140"/>
      </w:pPr>
      <w:r>
        <w:t>P13.7 Gericht und richtiger Beklagter.</w:t>
      </w:r>
    </w:p>
    <w:p>
      <w:pPr>
        <w:spacing w:after="140"/>
      </w:pPr>
      <w:r>
        <w:t>P13.8 Materielle Begründung der Konsistenzthese.</w:t>
      </w:r>
    </w:p>
    <w:p>
      <w:pPr>
        <w:spacing w:after="140"/>
      </w:pPr>
      <w:r>
        <w:t>P13.9 Gegenargumente und Begrenzung.</w:t>
      </w:r>
    </w:p>
    <w:p>
      <w:pPr>
        <w:spacing w:after="140"/>
      </w:pPr>
      <w:r>
        <w:t>P13.10 Tatsachen und Beweismittel.</w:t>
      </w:r>
    </w:p>
    <w:p>
      <w:pPr>
        <w:spacing w:after="140"/>
      </w:pPr>
      <w:r>
        <w:t>P13.11 Schluss und Anlagen.</w:t>
      </w:r>
    </w:p>
    <w:p>
      <w:r>
        <w:t>P00 und P08 enthalten die interne Projekt- und Freigabeprüfung. P14 enthält eine rechtlich anders einzuordnende Zugangsvariante. Sie werden nicht als zusätzliche unbestimmte Klagebegehren in diesen Prozess aufgenommen.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162" w:bottom="1049" w:left="1276" w:header="482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P12 | 2.0 | 03.10.2026 | </w:t>
    </w:r>
    <w:r>
      <w:fldChar w:fldCharType="begin"/>
    </w:r>
    <w:r>
      <w:instrText xml:space="preserve"> PAGE </w:instrText>
    </w:r>
    <w:r>
      <w:fldChar w:fldCharType="end"/>
    </w:r>
    <w:r>
      <w:rPr>
        <w:sz w:val="16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D6872"/>
        <w:sz w:val="16"/>
      </w:rPr>
      <w:t>BEITRAGSSTOPPER  /  PROGRAMM &amp; RECHTSSCHUTZ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2" w:lineRule="auto"/>
    </w:pPr>
    <w:rPr>
      <w:rFonts w:ascii="Calibri" w:hAnsi="Calibri"/>
      <w:color w:val="20252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7212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6374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26374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212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20"/>
    </w:pPr>
    <w:rPr>
      <w:rFonts w:asciiTheme="majorHAnsi" w:eastAsiaTheme="majorEastAsia" w:hAnsiTheme="majorHAnsi" w:cstheme="majorBidi" w:ascii="Calibri" w:hAnsi="Calibri"/>
      <w:b w:val="0"/>
      <w:i/>
      <w:iCs/>
      <w:color w:val="535F6B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Verzeichnis der Feststellungsklage</dc:title>
  <dc:subject>P12 - Version 2.0 | 03.10.2026</dc:subject>
  <dc:creator>Redaktionsfassung im Auftrag der Freiheitskanzlei</dc:creator>
  <cp:keywords/>
  <dc:description>KI-unterstuetzt erstellte Arbeitsfassung. Verantwortliche Uebernahme und Einzelfallpruefung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