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A06  |  Fallblatt und beweisbezogene Dokumentation</w:t>
      </w:r>
    </w:p>
    <w:p>
      <w:pPr>
        <w:pStyle w:val="Title"/>
      </w:pPr>
      <w:r>
        <w:t>Individueller Sachverhalt und Anlagen</w:t>
      </w:r>
    </w:p>
    <w:p>
      <w:pPr>
        <w:pStyle w:val="Subtitle"/>
      </w:pPr>
      <w:r>
        <w:t>Ohne dieses ausgefüllte Modul ist A03 keine individualisierte Klagebegründung</w:t>
      </w:r>
    </w:p>
    <w:p>
      <w:pPr>
        <w:pStyle w:val="Heading1"/>
      </w:pPr>
      <w:r>
        <w:t>F.1 Bescheid, Frist und Streitgegenstand</w:t>
      </w:r>
    </w:p>
    <w:p>
      <w:r>
        <w:t>Klägerseite / Anschrift: {Angaben}. Gericht / Aktenzeichen: {Angaben}. Beklagte / Vertretung / Anschrift: {Angaben}. Wohnsitz bei Klageerhebung und etwaige weitere Wohnsitze: {Angaben}. Zuständigkeitsnorm mit begründeter Variante: {Angaben}.</w:t>
      </w:r>
    </w:p>
    <w:p>
      <w:r>
        <w:t>Je Bescheid: {Datum}; {Betrag getrennt nach Beitrag/Nebenforderung}; {Abrechnungszeitraum}; {tatsächlicher Zugang}; {Nachweis}; {Widerspruch mit Zugangsnachweis}; {Widerspruchsbescheid und Zustellung}; {vollständige Belehrung}; {Klageeingang}. Nicht bekannte Daten als unbekannt kennzeichnen, niemals aus Dateinamen oder typischen Postlaufzeiten erfinden.</w:t>
      </w:r>
    </w:p>
    <w:p>
      <w:r>
        <w:t>Bisherige oder parallele Verfahren: {Gericht, Aktenzeichen, Gegenstand, Entscheidung, Zustellung, Rechtsmittel, Rechtskraft soweit verifiziert}. Identität mit dem jetzt angegriffenen Bescheid: {ja/nein/ungeklärt und Begründung}. Noch laufende gerichtliche Frist: {Datum und Originalschreiben}. Eigenständige individuelle Bescheidfehler außerhalb der Programmrüge: {konkrete Tatsache und Beleg; sonst keine}.</w:t>
      </w:r>
    </w:p>
    <w:p>
      <w:pPr>
        <w:pStyle w:val="Heading1"/>
      </w:pPr>
      <w:r>
        <w:t>F.2 Untersuchungsfenster und Rechtsfassung</w:t>
      </w:r>
    </w:p>
    <w:p>
      <w:r>
        <w:t>Abrechnungsende: {Datum}. Mindestens zweijähriges Fenster: {von/bis}. Begründung bei mehreren oder längeren Abrechnungsperioden: {Angaben}. Für diese Zeit einschlägige Landesfassung RBStV/MStV/RStV: {amtliche Fundstelle und Geltungsdatum}. Vergleichsdaten, die außerhalb liegen: {gesondert benennen}. Welche Daten liegen innerhalb des streitbezogenen Fensters tatsächlich vor? {Antwort}.</w:t>
      </w:r>
    </w:p>
    <w:p>
      <w:pPr>
        <w:pStyle w:val="Heading1"/>
      </w:pPr>
      <w:r>
        <w:t>F.3 Pro Beleg ein Tatsachenblatt</w:t>
      </w:r>
    </w:p>
    <w:p>
      <w:r/>
      <w:r>
        <w:rPr>
          <w:b/>
        </w:rPr>
        <w:t>Belegkennung:</w:t>
      </w:r>
      <w:r>
        <w:t xml:space="preserve"> {T001 usw.}. </w:t>
      </w:r>
      <w:r>
        <w:rPr>
          <w:b/>
        </w:rPr>
        <w:t>Originalquelle und Rechte:</w:t>
      </w:r>
      <w:r>
        <w:t xml:space="preserve"> {Datei/URL, Urheber, Zugang, Nutzungsumfang}. </w:t>
      </w:r>
      <w:r>
        <w:rPr>
          <w:b/>
        </w:rPr>
        <w:t>Angebot:</w:t>
      </w:r>
      <w:r>
        <w:t xml:space="preserve"> {Anstalt, Programm, Medium, Format}. </w:t>
      </w:r>
      <w:r>
        <w:rPr>
          <w:b/>
        </w:rPr>
        <w:t>Datum und Fundstelle:</w:t>
      </w:r>
      <w:r>
        <w:t xml:space="preserve"> {Sendetag, Zeit, Minute/Seite}. </w:t>
      </w:r>
      <w:r>
        <w:rPr>
          <w:b/>
        </w:rPr>
        <w:t>Wörtlich beobachteter Inhalt:</w:t>
      </w:r>
      <w:r>
        <w:t xml:space="preserve"> {kurz und kontextwahrend}. </w:t>
      </w:r>
      <w:r>
        <w:rPr>
          <w:b/>
        </w:rPr>
        <w:t>Behauptete Tatsache:</w:t>
      </w:r>
      <w:r>
        <w:t xml:space="preserve"> {beobachtbare Aussage, nicht nur rechtliche Wertung}. </w:t>
      </w:r>
      <w:r>
        <w:rPr>
          <w:b/>
        </w:rPr>
        <w:t>Verbindung zum behaupteten Muster:</w:t>
      </w:r>
      <w:r>
        <w:t xml:space="preserve"> {Mechanismus}. </w:t>
      </w:r>
      <w:r>
        <w:rPr>
          <w:b/>
        </w:rPr>
        <w:t>Auswahlregel:</w:t>
      </w:r>
      <w:r>
        <w:t xml:space="preserve"> {warum gerade dieser Beleg}. </w:t>
      </w:r>
      <w:r>
        <w:rPr>
          <w:b/>
        </w:rPr>
        <w:t>Vergleich und Gegenbeispiel:</w:t>
      </w:r>
      <w:r>
        <w:t xml:space="preserve"> {auch entlastende Inhalte}. </w:t>
      </w:r>
      <w:r>
        <w:rPr>
          <w:b/>
        </w:rPr>
        <w:t>Grenzen:</w:t>
      </w:r>
      <w:r>
        <w:t xml:space="preserve"> {Zeit, Genre, unvollständiger Inhalt, fehlender Kontext}. </w:t>
      </w:r>
      <w:r>
        <w:rPr>
          <w:b/>
        </w:rPr>
        <w:t>Technische Sicherung:</w:t>
      </w:r>
      <w:r>
        <w:t xml:space="preserve"> {Dateiname, Abrufdatum, Hash falls berechnet}. </w:t>
      </w:r>
      <w:r>
        <w:rPr>
          <w:b/>
        </w:rPr>
        <w:t>Prüfung durch:</w:t>
      </w:r>
      <w:r>
        <w:t xml:space="preserve"> {Name/Datum}.</w:t>
      </w:r>
    </w:p>
    <w:p>
      <w:r>
        <w:t>Für jeden tatsächlich verwendeten Beleg ist dieses Blatt zu vervielfältigen. Eine bloße Linkliste ohne konkrete Tatsachenbehauptung und gesicherten Inhalt genügt für die behauptete Schlussfolgerung nicht. Eine Behauptung über ausgelassene Berichterstattung muss zusätzlich Suchraum, Suchbegriffe, Zeitraum und Abdeckungsgrenzen ausweisen.</w:t>
      </w:r>
    </w:p>
    <w:p>
      <w:pPr>
        <w:pStyle w:val="Heading1"/>
      </w:pPr>
      <w:r>
        <w:t>F.4 Prüffelder der bisherigen thematischen Anlagen</w:t>
      </w:r>
    </w:p>
    <w:tbl>
      <w:tblPr>
        <w:tblW w:type="auto" w:w="0"/>
        <w:tblLayout w:type="fixed"/>
        <w:tblLook w:firstColumn="1" w:firstRow="1" w:lastColumn="0" w:lastRow="0" w:noHBand="0" w:noVBand="1" w:val="04A0"/>
      </w:tblPr>
      <w:tblGrid>
        <w:gridCol w:w="1928"/>
        <w:gridCol w:w="7483"/>
      </w:tblGrid>
      <w:tr>
        <w:trPr>
          <w:tblHeader/>
        </w:trPr>
        <w:tc>
          <w:tcPr>
            <w:tcW w:type="dxa" w:w="1928"/>
            <w:shd w:fill="E9EDF0"/>
            <w:vAlign w:val="center"/>
            <w:tcMar>
              <w:top w:w="70" w:type="dxa"/>
              <w:bottom w:w="70" w:type="dxa"/>
              <w:left w:w="90" w:type="dxa"/>
              <w:right w:w="90" w:type="dxa"/>
            </w:tcMar>
          </w:tcPr>
          <w:p>
            <w:r>
              <w:rPr>
                <w:b/>
                <w:sz w:val="20"/>
              </w:rPr>
              <w:t>Themenfeld</w:t>
            </w:r>
          </w:p>
        </w:tc>
        <w:tc>
          <w:tcPr>
            <w:tcW w:type="dxa" w:w="7483"/>
            <w:shd w:fill="E9EDF0"/>
            <w:vAlign w:val="center"/>
            <w:tcMar>
              <w:top w:w="70" w:type="dxa"/>
              <w:bottom w:w="70" w:type="dxa"/>
              <w:left w:w="90" w:type="dxa"/>
              <w:right w:w="90" w:type="dxa"/>
            </w:tcMar>
          </w:tcPr>
          <w:p>
            <w:r>
              <w:rPr>
                <w:b/>
                <w:sz w:val="20"/>
              </w:rPr>
              <w:t>Erforderliche Konkretisierung</w:t>
            </w:r>
          </w:p>
        </w:tc>
      </w:tr>
      <w:tr>
        <w:tc>
          <w:tcPr>
            <w:tcW w:type="dxa" w:w="1928"/>
            <w:vAlign w:val="center"/>
            <w:tcMar>
              <w:top w:w="70" w:type="dxa"/>
              <w:bottom w:w="70" w:type="dxa"/>
              <w:left w:w="90" w:type="dxa"/>
              <w:right w:w="90" w:type="dxa"/>
            </w:tcMar>
          </w:tcPr>
          <w:p>
            <w:pPr>
              <w:spacing w:after="60" w:before="60" w:line="245" w:lineRule="auto"/>
            </w:pPr>
            <w:r>
              <w:rPr>
                <w:sz w:val="20"/>
              </w:rPr>
              <w:t>Corona</w:t>
            </w:r>
          </w:p>
        </w:tc>
        <w:tc>
          <w:tcPr>
            <w:tcW w:type="dxa" w:w="7483"/>
            <w:vAlign w:val="center"/>
            <w:tcMar>
              <w:top w:w="70" w:type="dxa"/>
              <w:bottom w:w="70" w:type="dxa"/>
              <w:left w:w="90" w:type="dxa"/>
              <w:right w:w="90" w:type="dxa"/>
            </w:tcMar>
          </w:tcPr>
          <w:p>
            <w:pPr>
              <w:spacing w:after="60" w:before="60" w:line="245" w:lineRule="auto"/>
            </w:pPr>
            <w:r>
              <w:rPr>
                <w:sz w:val="20"/>
              </w:rPr>
              <w:t>Datierte Originalinhalte und damals verfügbare Quellen; Müller nur im tatsächlichen historischen Umfang; Zahlenfrage vorher klären.</w:t>
            </w:r>
          </w:p>
        </w:tc>
      </w:tr>
      <w:tr>
        <w:tc>
          <w:tcPr>
            <w:tcW w:type="dxa" w:w="1928"/>
            <w:vAlign w:val="center"/>
            <w:tcMar>
              <w:top w:w="70" w:type="dxa"/>
              <w:bottom w:w="70" w:type="dxa"/>
              <w:left w:w="90" w:type="dxa"/>
              <w:right w:w="90" w:type="dxa"/>
            </w:tcMar>
          </w:tcPr>
          <w:p>
            <w:pPr>
              <w:spacing w:after="60" w:before="60" w:line="245" w:lineRule="auto"/>
            </w:pPr>
            <w:r>
              <w:rPr>
                <w:sz w:val="20"/>
              </w:rPr>
              <w:t>Ukraine / Nord Stream</w:t>
            </w:r>
          </w:p>
        </w:tc>
        <w:tc>
          <w:tcPr>
            <w:tcW w:type="dxa" w:w="7483"/>
            <w:vAlign w:val="center"/>
            <w:tcMar>
              <w:top w:w="70" w:type="dxa"/>
              <w:bottom w:w="70" w:type="dxa"/>
              <w:left w:w="90" w:type="dxa"/>
              <w:right w:w="90" w:type="dxa"/>
            </w:tcMar>
          </w:tcPr>
          <w:p>
            <w:pPr>
              <w:spacing w:after="60" w:before="60" w:line="245" w:lineRule="auto"/>
            </w:pPr>
            <w:r>
              <w:rPr>
                <w:sz w:val="20"/>
              </w:rPr>
              <w:t>Ereigniszeitpunkt, Quelle und späterer Kenntnisstand trennen; Berichterstattung, Kommentar und Satire nicht gleich kodieren.</w:t>
            </w:r>
          </w:p>
        </w:tc>
      </w:tr>
      <w:tr>
        <w:tc>
          <w:tcPr>
            <w:tcW w:type="dxa" w:w="1928"/>
            <w:vAlign w:val="center"/>
            <w:tcMar>
              <w:top w:w="70" w:type="dxa"/>
              <w:bottom w:w="70" w:type="dxa"/>
              <w:left w:w="90" w:type="dxa"/>
              <w:right w:w="90" w:type="dxa"/>
            </w:tcMar>
          </w:tcPr>
          <w:p>
            <w:pPr>
              <w:spacing w:after="60" w:before="60" w:line="245" w:lineRule="auto"/>
            </w:pPr>
            <w:r>
              <w:rPr>
                <w:sz w:val="20"/>
              </w:rPr>
              <w:t>UNO / WHO</w:t>
            </w:r>
          </w:p>
        </w:tc>
        <w:tc>
          <w:tcPr>
            <w:tcW w:type="dxa" w:w="7483"/>
            <w:vAlign w:val="center"/>
            <w:tcMar>
              <w:top w:w="70" w:type="dxa"/>
              <w:bottom w:w="70" w:type="dxa"/>
              <w:left w:w="90" w:type="dxa"/>
              <w:right w:w="90" w:type="dxa"/>
            </w:tcMar>
          </w:tcPr>
          <w:p>
            <w:pPr>
              <w:spacing w:after="60" w:before="60" w:line="245" w:lineRule="auto"/>
            </w:pPr>
            <w:r>
              <w:rPr>
                <w:sz w:val="20"/>
              </w:rPr>
              <w:t>Konkrete politische oder fachliche Position benennen; bloße Institutionenkritik ist kein Nachweis ihrer systematischen Ausblendung.</w:t>
            </w:r>
          </w:p>
        </w:tc>
      </w:tr>
      <w:tr>
        <w:tc>
          <w:tcPr>
            <w:tcW w:type="dxa" w:w="1928"/>
            <w:vAlign w:val="center"/>
            <w:tcMar>
              <w:top w:w="70" w:type="dxa"/>
              <w:bottom w:w="70" w:type="dxa"/>
              <w:left w:w="90" w:type="dxa"/>
              <w:right w:w="90" w:type="dxa"/>
            </w:tcMar>
          </w:tcPr>
          <w:p>
            <w:pPr>
              <w:spacing w:after="60" w:before="60" w:line="245" w:lineRule="auto"/>
            </w:pPr>
            <w:r>
              <w:rPr>
                <w:sz w:val="20"/>
              </w:rPr>
              <w:t>Kinderangebote</w:t>
            </w:r>
          </w:p>
        </w:tc>
        <w:tc>
          <w:tcPr>
            <w:tcW w:type="dxa" w:w="7483"/>
            <w:vAlign w:val="center"/>
            <w:tcMar>
              <w:top w:w="70" w:type="dxa"/>
              <w:bottom w:w="70" w:type="dxa"/>
              <w:left w:w="90" w:type="dxa"/>
              <w:right w:w="90" w:type="dxa"/>
            </w:tcMar>
          </w:tcPr>
          <w:p>
            <w:pPr>
              <w:spacing w:after="60" w:before="60" w:line="245" w:lineRule="auto"/>
            </w:pPr>
            <w:r>
              <w:rPr>
                <w:sz w:val="20"/>
              </w:rPr>
              <w:t>Format, Alterseignung, Originalinhalt, Kontext und konkrete Bewertungsgrundlage; nicht nur pauschal Indoktrination behaupten.</w:t>
            </w:r>
          </w:p>
        </w:tc>
      </w:tr>
      <w:tr>
        <w:tc>
          <w:tcPr>
            <w:tcW w:type="dxa" w:w="1928"/>
            <w:vAlign w:val="center"/>
            <w:tcMar>
              <w:top w:w="70" w:type="dxa"/>
              <w:bottom w:w="70" w:type="dxa"/>
              <w:left w:w="90" w:type="dxa"/>
              <w:right w:w="90" w:type="dxa"/>
            </w:tcMar>
          </w:tcPr>
          <w:p>
            <w:pPr>
              <w:spacing w:after="60" w:before="60" w:line="245" w:lineRule="auto"/>
            </w:pPr>
            <w:r>
              <w:rPr>
                <w:sz w:val="20"/>
              </w:rPr>
              <w:t>Politiknähe / Unparteilichkeit</w:t>
            </w:r>
          </w:p>
        </w:tc>
        <w:tc>
          <w:tcPr>
            <w:tcW w:type="dxa" w:w="7483"/>
            <w:vAlign w:val="center"/>
            <w:tcMar>
              <w:top w:w="70" w:type="dxa"/>
              <w:bottom w:w="70" w:type="dxa"/>
              <w:left w:w="90" w:type="dxa"/>
              <w:right w:w="90" w:type="dxa"/>
            </w:tcMar>
          </w:tcPr>
          <w:p>
            <w:pPr>
              <w:spacing w:after="60" w:before="60" w:line="245" w:lineRule="auto"/>
            </w:pPr>
            <w:r>
              <w:rPr>
                <w:sz w:val="20"/>
              </w:rPr>
              <w:t>Personelle Verbindungen nur als belegter Kontext; nicht automatisch Beweis eines konkreten Programmfehlers.</w:t>
            </w:r>
          </w:p>
        </w:tc>
      </w:tr>
      <w:tr>
        <w:tc>
          <w:tcPr>
            <w:tcW w:type="dxa" w:w="1928"/>
            <w:vAlign w:val="center"/>
            <w:tcMar>
              <w:top w:w="70" w:type="dxa"/>
              <w:bottom w:w="70" w:type="dxa"/>
              <w:left w:w="90" w:type="dxa"/>
              <w:right w:w="90" w:type="dxa"/>
            </w:tcMar>
          </w:tcPr>
          <w:p>
            <w:pPr>
              <w:spacing w:after="60" w:before="60" w:line="245" w:lineRule="auto"/>
            </w:pPr>
            <w:r>
              <w:rPr>
                <w:sz w:val="20"/>
              </w:rPr>
              <w:t>Talkshows / Parteibeteiligung</w:t>
            </w:r>
          </w:p>
        </w:tc>
        <w:tc>
          <w:tcPr>
            <w:tcW w:type="dxa" w:w="7483"/>
            <w:vAlign w:val="center"/>
            <w:tcMar>
              <w:top w:w="70" w:type="dxa"/>
              <w:bottom w:w="70" w:type="dxa"/>
              <w:left w:w="90" w:type="dxa"/>
              <w:right w:w="90" w:type="dxa"/>
            </w:tcMar>
          </w:tcPr>
          <w:p>
            <w:pPr>
              <w:spacing w:after="60" w:before="60" w:line="245" w:lineRule="auto"/>
            </w:pPr>
            <w:r>
              <w:rPr>
                <w:sz w:val="20"/>
              </w:rPr>
              <w:t>Einladungen, tatsächliche Teilnahme und vertretene Positionen unterscheiden; Ereignislage und Untersuchungsmenge offenlegen.</w:t>
            </w:r>
          </w:p>
        </w:tc>
      </w:tr>
      <w:tr>
        <w:tc>
          <w:tcPr>
            <w:tcW w:type="dxa" w:w="1928"/>
            <w:vAlign w:val="center"/>
            <w:tcMar>
              <w:top w:w="70" w:type="dxa"/>
              <w:bottom w:w="70" w:type="dxa"/>
              <w:left w:w="90" w:type="dxa"/>
              <w:right w:w="90" w:type="dxa"/>
            </w:tcMar>
          </w:tcPr>
          <w:p>
            <w:pPr>
              <w:spacing w:after="60" w:before="60" w:line="245" w:lineRule="auto"/>
            </w:pPr>
            <w:r>
              <w:rPr>
                <w:sz w:val="20"/>
              </w:rPr>
              <w:t>Satire / einzelne Akteure</w:t>
            </w:r>
          </w:p>
        </w:tc>
        <w:tc>
          <w:tcPr>
            <w:tcW w:type="dxa" w:w="7483"/>
            <w:vAlign w:val="center"/>
            <w:tcMar>
              <w:top w:w="70" w:type="dxa"/>
              <w:bottom w:w="70" w:type="dxa"/>
              <w:left w:w="90" w:type="dxa"/>
              <w:right w:w="90" w:type="dxa"/>
            </w:tcMar>
          </w:tcPr>
          <w:p>
            <w:pPr>
              <w:spacing w:after="60" w:before="60" w:line="245" w:lineRule="auto"/>
            </w:pPr>
            <w:r>
              <w:rPr>
                <w:sz w:val="20"/>
              </w:rPr>
              <w:t>Einzelperson und Darstellungsform von langfristigem Gesamtangebot trennen; keine automatische Systemzurechnung.</w:t>
            </w:r>
          </w:p>
        </w:tc>
      </w:tr>
      <w:tr>
        <w:tc>
          <w:tcPr>
            <w:tcW w:type="dxa" w:w="1928"/>
            <w:vAlign w:val="center"/>
            <w:tcMar>
              <w:top w:w="70" w:type="dxa"/>
              <w:bottom w:w="70" w:type="dxa"/>
              <w:left w:w="90" w:type="dxa"/>
              <w:right w:w="90" w:type="dxa"/>
            </w:tcMar>
          </w:tcPr>
          <w:p>
            <w:pPr>
              <w:spacing w:after="60" w:before="60" w:line="245" w:lineRule="auto"/>
            </w:pPr>
            <w:r>
              <w:rPr>
                <w:sz w:val="20"/>
              </w:rPr>
              <w:t>Mitarbeitermanifest</w:t>
            </w:r>
          </w:p>
        </w:tc>
        <w:tc>
          <w:tcPr>
            <w:tcW w:type="dxa" w:w="7483"/>
            <w:vAlign w:val="center"/>
            <w:tcMar>
              <w:top w:w="70" w:type="dxa"/>
              <w:bottom w:w="70" w:type="dxa"/>
              <w:left w:w="90" w:type="dxa"/>
              <w:right w:w="90" w:type="dxa"/>
            </w:tcMar>
          </w:tcPr>
          <w:p>
            <w:pPr>
              <w:spacing w:after="60" w:before="60" w:line="245" w:lineRule="auto"/>
            </w:pPr>
            <w:r>
              <w:rPr>
                <w:sz w:val="20"/>
              </w:rPr>
              <w:t>Urheberschaft, Datum und Aussagegehalt sichern; Wahrnehmungen nicht in unabhängige quantitative Inhaltsbefunde umdeuten.</w:t>
            </w:r>
          </w:p>
        </w:tc>
      </w:tr>
    </w:tbl>
    <w:p/>
    <w:p>
      <w:pPr>
        <w:pStyle w:val="Heading1"/>
      </w:pPr>
      <w:r>
        <w:t>F.5 Zugangsregister</w:t>
      </w:r>
    </w:p>
    <w:p>
      <w:r>
        <w:t>Je Ersuchen: {Z001 usw.}; {tatsächlicher Rechtsträger}; {bezeichneter Bestand}; {Zeitraum}; {Zugangsform}; {Rechtsgrundlage oder Forschungsregel}; {Versand und Zugang}; {Antwort samt Datum und Volltext}; {teilweise bewilligte Inhalte}; {Ablehnungsgrund}; {milderes Angebot}; {tatsächlicher Nutzungsversuch}; {offene Restlücke}; {Frist/Rechtsbehelf nach konkreter Belehrung}; {Verknüpfung mit Tatsachenblatt T...}.</w:t>
      </w:r>
    </w:p>
    <w:p>
      <w:r>
        <w:t>Ergebnisstatus nur aus folgender begründeter Auswahl: Zugang erhalten; teilweise Zugang; Zugang unter Bedingungen; ausdrücklich abgelehnt; kein Bestand; anderer Datenhalter; noch keine Antwort; Antwort inhaltlich unklar. Jede Einstufung braucht einen Beleg. Bedingungen oder fehlender Bestand sind nicht ohne Weiteres rechtswidrige Verweigerung.</w:t>
      </w:r>
    </w:p>
    <w:p>
      <w:pPr>
        <w:pStyle w:val="Heading1"/>
      </w:pPr>
      <w:r>
        <w:t>F.6 Originalanlagen und modulare Anlagen</w:t>
      </w:r>
    </w:p>
    <w:tbl>
      <w:tblPr>
        <w:tblW w:type="auto" w:w="0"/>
        <w:tblLayout w:type="fixed"/>
        <w:tblLook w:firstColumn="1" w:firstRow="1" w:lastColumn="0" w:lastRow="0" w:noHBand="0" w:noVBand="1" w:val="04A0"/>
      </w:tblPr>
      <w:tblGrid>
        <w:gridCol w:w="850"/>
        <w:gridCol w:w="8561"/>
      </w:tblGrid>
      <w:tr>
        <w:trPr>
          <w:tblHeader/>
        </w:trPr>
        <w:tc>
          <w:tcPr>
            <w:tcW w:type="dxa" w:w="850"/>
            <w:shd w:fill="E9EDF0"/>
            <w:vAlign w:val="center"/>
            <w:tcMar>
              <w:top w:w="70" w:type="dxa"/>
              <w:bottom w:w="70" w:type="dxa"/>
              <w:left w:w="90" w:type="dxa"/>
              <w:right w:w="90" w:type="dxa"/>
            </w:tcMar>
          </w:tcPr>
          <w:p>
            <w:r>
              <w:rPr>
                <w:b/>
                <w:sz w:val="20"/>
              </w:rPr>
              <w:t>Nr.</w:t>
            </w:r>
          </w:p>
        </w:tc>
        <w:tc>
          <w:tcPr>
            <w:tcW w:type="dxa" w:w="8561"/>
            <w:shd w:fill="E9EDF0"/>
            <w:vAlign w:val="center"/>
            <w:tcMar>
              <w:top w:w="70" w:type="dxa"/>
              <w:bottom w:w="70" w:type="dxa"/>
              <w:left w:w="90" w:type="dxa"/>
              <w:right w:w="90" w:type="dxa"/>
            </w:tcMar>
          </w:tcPr>
          <w:p>
            <w:r>
              <w:rPr>
                <w:b/>
                <w:sz w:val="20"/>
              </w:rPr>
              <w:t>Inhalt / tatsächlicher Bestand</w:t>
            </w:r>
          </w:p>
        </w:tc>
      </w:tr>
      <w:tr>
        <w:tc>
          <w:tcPr>
            <w:tcW w:type="dxa" w:w="850"/>
            <w:vAlign w:val="center"/>
            <w:tcMar>
              <w:top w:w="70" w:type="dxa"/>
              <w:bottom w:w="70" w:type="dxa"/>
              <w:left w:w="90" w:type="dxa"/>
              <w:right w:w="90" w:type="dxa"/>
            </w:tcMar>
          </w:tcPr>
          <w:p>
            <w:pPr>
              <w:spacing w:after="60" w:before="60" w:line="245" w:lineRule="auto"/>
            </w:pPr>
            <w:r>
              <w:rPr>
                <w:sz w:val="20"/>
              </w:rPr>
              <w:t>K1</w:t>
            </w:r>
          </w:p>
        </w:tc>
        <w:tc>
          <w:tcPr>
            <w:tcW w:type="dxa" w:w="8561"/>
            <w:vAlign w:val="center"/>
            <w:tcMar>
              <w:top w:w="70" w:type="dxa"/>
              <w:bottom w:w="70" w:type="dxa"/>
              <w:left w:w="90" w:type="dxa"/>
              <w:right w:w="90" w:type="dxa"/>
            </w:tcMar>
          </w:tcPr>
          <w:p>
            <w:pPr>
              <w:spacing w:after="60" w:before="60" w:line="245" w:lineRule="auto"/>
            </w:pPr>
            <w:r>
              <w:rPr>
                <w:sz w:val="20"/>
              </w:rPr>
              <w:t>Festsetzungsbescheid(e), vollständig mit Beitragszeiträumen und Nebenforderungen.</w:t>
            </w:r>
          </w:p>
        </w:tc>
      </w:tr>
      <w:tr>
        <w:tc>
          <w:tcPr>
            <w:tcW w:type="dxa" w:w="850"/>
            <w:vAlign w:val="center"/>
            <w:tcMar>
              <w:top w:w="70" w:type="dxa"/>
              <w:bottom w:w="70" w:type="dxa"/>
              <w:left w:w="90" w:type="dxa"/>
              <w:right w:w="90" w:type="dxa"/>
            </w:tcMar>
          </w:tcPr>
          <w:p>
            <w:pPr>
              <w:spacing w:after="60" w:before="60" w:line="245" w:lineRule="auto"/>
            </w:pPr>
            <w:r>
              <w:rPr>
                <w:sz w:val="20"/>
              </w:rPr>
              <w:t>K2</w:t>
            </w:r>
          </w:p>
        </w:tc>
        <w:tc>
          <w:tcPr>
            <w:tcW w:type="dxa" w:w="8561"/>
            <w:vAlign w:val="center"/>
            <w:tcMar>
              <w:top w:w="70" w:type="dxa"/>
              <w:bottom w:w="70" w:type="dxa"/>
              <w:left w:w="90" w:type="dxa"/>
              <w:right w:w="90" w:type="dxa"/>
            </w:tcMar>
          </w:tcPr>
          <w:p>
            <w:pPr>
              <w:spacing w:after="60" w:before="60" w:line="245" w:lineRule="auto"/>
            </w:pPr>
            <w:r>
              <w:rPr>
                <w:sz w:val="20"/>
              </w:rPr>
              <w:t>Widerspruch, vollständiger Versand- und Eingangsnachweis, soweit Vorverfahren erforderlich.</w:t>
            </w:r>
          </w:p>
        </w:tc>
      </w:tr>
      <w:tr>
        <w:tc>
          <w:tcPr>
            <w:tcW w:type="dxa" w:w="850"/>
            <w:vAlign w:val="center"/>
            <w:tcMar>
              <w:top w:w="70" w:type="dxa"/>
              <w:bottom w:w="70" w:type="dxa"/>
              <w:left w:w="90" w:type="dxa"/>
              <w:right w:w="90" w:type="dxa"/>
            </w:tcMar>
          </w:tcPr>
          <w:p>
            <w:pPr>
              <w:spacing w:after="60" w:before="60" w:line="245" w:lineRule="auto"/>
            </w:pPr>
            <w:r>
              <w:rPr>
                <w:sz w:val="20"/>
              </w:rPr>
              <w:t>K3</w:t>
            </w:r>
          </w:p>
        </w:tc>
        <w:tc>
          <w:tcPr>
            <w:tcW w:type="dxa" w:w="8561"/>
            <w:vAlign w:val="center"/>
            <w:tcMar>
              <w:top w:w="70" w:type="dxa"/>
              <w:bottom w:w="70" w:type="dxa"/>
              <w:left w:w="90" w:type="dxa"/>
              <w:right w:w="90" w:type="dxa"/>
            </w:tcMar>
          </w:tcPr>
          <w:p>
            <w:pPr>
              <w:spacing w:after="60" w:before="60" w:line="245" w:lineRule="auto"/>
            </w:pPr>
            <w:r>
              <w:rPr>
                <w:sz w:val="20"/>
              </w:rPr>
              <w:t>Widerspruchsbescheid, vollständige Belehrung, Zustellungsumschlag/Nachweis.</w:t>
            </w:r>
          </w:p>
        </w:tc>
      </w:tr>
      <w:tr>
        <w:tc>
          <w:tcPr>
            <w:tcW w:type="dxa" w:w="850"/>
            <w:vAlign w:val="center"/>
            <w:tcMar>
              <w:top w:w="70" w:type="dxa"/>
              <w:bottom w:w="70" w:type="dxa"/>
              <w:left w:w="90" w:type="dxa"/>
              <w:right w:w="90" w:type="dxa"/>
            </w:tcMar>
          </w:tcPr>
          <w:p>
            <w:pPr>
              <w:spacing w:after="60" w:before="60" w:line="245" w:lineRule="auto"/>
            </w:pPr>
            <w:r>
              <w:rPr>
                <w:sz w:val="20"/>
              </w:rPr>
              <w:t>K4</w:t>
            </w:r>
          </w:p>
        </w:tc>
        <w:tc>
          <w:tcPr>
            <w:tcW w:type="dxa" w:w="8561"/>
            <w:vAlign w:val="center"/>
            <w:tcMar>
              <w:top w:w="70" w:type="dxa"/>
              <w:bottom w:w="70" w:type="dxa"/>
              <w:left w:w="90" w:type="dxa"/>
              <w:right w:w="90" w:type="dxa"/>
            </w:tcMar>
          </w:tcPr>
          <w:p>
            <w:pPr>
              <w:spacing w:after="60" w:before="60" w:line="245" w:lineRule="auto"/>
            </w:pPr>
            <w:r>
              <w:rPr>
                <w:sz w:val="20"/>
              </w:rPr>
              <w:t>Bisherige Gerichtsentscheidungen und maßgebliche Schriftsätze, nur soweit für diesen Fall einschlägig.</w:t>
            </w:r>
          </w:p>
        </w:tc>
      </w:tr>
      <w:tr>
        <w:tc>
          <w:tcPr>
            <w:tcW w:type="dxa" w:w="850"/>
            <w:vAlign w:val="center"/>
            <w:tcMar>
              <w:top w:w="70" w:type="dxa"/>
              <w:bottom w:w="70" w:type="dxa"/>
              <w:left w:w="90" w:type="dxa"/>
              <w:right w:w="90" w:type="dxa"/>
            </w:tcMar>
          </w:tcPr>
          <w:p>
            <w:pPr>
              <w:spacing w:after="60" w:before="60" w:line="245" w:lineRule="auto"/>
            </w:pPr>
            <w:r>
              <w:rPr>
                <w:sz w:val="20"/>
              </w:rPr>
              <w:t>K5</w:t>
            </w:r>
          </w:p>
        </w:tc>
        <w:tc>
          <w:tcPr>
            <w:tcW w:type="dxa" w:w="8561"/>
            <w:vAlign w:val="center"/>
            <w:tcMar>
              <w:top w:w="70" w:type="dxa"/>
              <w:bottom w:w="70" w:type="dxa"/>
              <w:left w:w="90" w:type="dxa"/>
              <w:right w:w="90" w:type="dxa"/>
            </w:tcMar>
          </w:tcPr>
          <w:p>
            <w:pPr>
              <w:spacing w:after="60" w:before="60" w:line="245" w:lineRule="auto"/>
            </w:pPr>
            <w:r>
              <w:rPr>
                <w:sz w:val="20"/>
              </w:rPr>
              <w:t>Tatsachenblätter T001 ff. mit Originalsendungsbelegen und tatsächlich verwendeten Studien.</w:t>
            </w:r>
          </w:p>
        </w:tc>
      </w:tr>
      <w:tr>
        <w:tc>
          <w:tcPr>
            <w:tcW w:type="dxa" w:w="850"/>
            <w:vAlign w:val="center"/>
            <w:tcMar>
              <w:top w:w="70" w:type="dxa"/>
              <w:bottom w:w="70" w:type="dxa"/>
              <w:left w:w="90" w:type="dxa"/>
              <w:right w:w="90" w:type="dxa"/>
            </w:tcMar>
          </w:tcPr>
          <w:p>
            <w:pPr>
              <w:spacing w:after="60" w:before="60" w:line="245" w:lineRule="auto"/>
            </w:pPr>
            <w:r>
              <w:rPr>
                <w:sz w:val="20"/>
              </w:rPr>
              <w:t>K6</w:t>
            </w:r>
          </w:p>
        </w:tc>
        <w:tc>
          <w:tcPr>
            <w:tcW w:type="dxa" w:w="8561"/>
            <w:vAlign w:val="center"/>
            <w:tcMar>
              <w:top w:w="70" w:type="dxa"/>
              <w:bottom w:w="70" w:type="dxa"/>
              <w:left w:w="90" w:type="dxa"/>
              <w:right w:w="90" w:type="dxa"/>
            </w:tcMar>
          </w:tcPr>
          <w:p>
            <w:pPr>
              <w:spacing w:after="60" w:before="60" w:line="245" w:lineRule="auto"/>
            </w:pPr>
            <w:r>
              <w:rPr>
                <w:sz w:val="20"/>
              </w:rPr>
              <w:t>Zugangsregister Z001 ff., Ersuchen, Empfangsbelege und vollständige Antworten.</w:t>
            </w:r>
          </w:p>
        </w:tc>
      </w:tr>
      <w:tr>
        <w:tc>
          <w:tcPr>
            <w:tcW w:type="dxa" w:w="850"/>
            <w:vAlign w:val="center"/>
            <w:tcMar>
              <w:top w:w="70" w:type="dxa"/>
              <w:bottom w:w="70" w:type="dxa"/>
              <w:left w:w="90" w:type="dxa"/>
              <w:right w:w="90" w:type="dxa"/>
            </w:tcMar>
          </w:tcPr>
          <w:p>
            <w:pPr>
              <w:spacing w:after="60" w:before="60" w:line="245" w:lineRule="auto"/>
            </w:pPr>
            <w:r>
              <w:rPr>
                <w:sz w:val="20"/>
              </w:rPr>
              <w:t>K7</w:t>
            </w:r>
          </w:p>
        </w:tc>
        <w:tc>
          <w:tcPr>
            <w:tcW w:type="dxa" w:w="8561"/>
            <w:vAlign w:val="center"/>
            <w:tcMar>
              <w:top w:w="70" w:type="dxa"/>
              <w:bottom w:w="70" w:type="dxa"/>
              <w:left w:w="90" w:type="dxa"/>
              <w:right w:w="90" w:type="dxa"/>
            </w:tcMar>
          </w:tcPr>
          <w:p>
            <w:pPr>
              <w:spacing w:after="60" w:before="60" w:line="245" w:lineRule="auto"/>
            </w:pPr>
            <w:r>
              <w:rPr>
                <w:sz w:val="20"/>
              </w:rPr>
              <w:t>Individuelle Programmbeschwerden samt Antworten, Gremienentscheidungen und Korrekturbelegen.</w:t>
            </w:r>
          </w:p>
        </w:tc>
      </w:tr>
      <w:tr>
        <w:tc>
          <w:tcPr>
            <w:tcW w:type="dxa" w:w="850"/>
            <w:vAlign w:val="center"/>
            <w:tcMar>
              <w:top w:w="70" w:type="dxa"/>
              <w:bottom w:w="70" w:type="dxa"/>
              <w:left w:w="90" w:type="dxa"/>
              <w:right w:w="90" w:type="dxa"/>
            </w:tcMar>
          </w:tcPr>
          <w:p>
            <w:pPr>
              <w:spacing w:after="60" w:before="60" w:line="245" w:lineRule="auto"/>
            </w:pPr>
            <w:r>
              <w:rPr>
                <w:sz w:val="20"/>
              </w:rPr>
              <w:t>K8</w:t>
            </w:r>
          </w:p>
        </w:tc>
        <w:tc>
          <w:tcPr>
            <w:tcW w:type="dxa" w:w="8561"/>
            <w:vAlign w:val="center"/>
            <w:tcMar>
              <w:top w:w="70" w:type="dxa"/>
              <w:bottom w:w="70" w:type="dxa"/>
              <w:left w:w="90" w:type="dxa"/>
              <w:right w:w="90" w:type="dxa"/>
            </w:tcMar>
          </w:tcPr>
          <w:p>
            <w:pPr>
              <w:spacing w:after="60" w:before="60" w:line="245" w:lineRule="auto"/>
            </w:pPr>
            <w:r>
              <w:rPr>
                <w:sz w:val="20"/>
              </w:rPr>
              <w:t>Tatsächlich vorhandene Datenexporte, Exporterklärung, Rechte- und Methodenbelege; keine nicht vorhandene CSV als beigefügt bezeichnen.</w:t>
            </w:r>
          </w:p>
        </w:tc>
      </w:tr>
      <w:tr>
        <w:tc>
          <w:tcPr>
            <w:tcW w:type="dxa" w:w="850"/>
            <w:vAlign w:val="center"/>
            <w:tcMar>
              <w:top w:w="70" w:type="dxa"/>
              <w:bottom w:w="70" w:type="dxa"/>
              <w:left w:w="90" w:type="dxa"/>
              <w:right w:w="90" w:type="dxa"/>
            </w:tcMar>
          </w:tcPr>
          <w:p>
            <w:pPr>
              <w:spacing w:after="60" w:before="60" w:line="245" w:lineRule="auto"/>
            </w:pPr>
            <w:r>
              <w:rPr>
                <w:sz w:val="20"/>
              </w:rPr>
              <w:t>K9</w:t>
            </w:r>
          </w:p>
        </w:tc>
        <w:tc>
          <w:tcPr>
            <w:tcW w:type="dxa" w:w="8561"/>
            <w:vAlign w:val="center"/>
            <w:tcMar>
              <w:top w:w="70" w:type="dxa"/>
              <w:bottom w:w="70" w:type="dxa"/>
              <w:left w:w="90" w:type="dxa"/>
              <w:right w:w="90" w:type="dxa"/>
            </w:tcMar>
          </w:tcPr>
          <w:p>
            <w:pPr>
              <w:spacing w:after="60" w:before="60" w:line="245" w:lineRule="auto"/>
            </w:pPr>
            <w:r>
              <w:rPr>
                <w:sz w:val="20"/>
              </w:rPr>
              <w:t>G01, verantwortete Fassung mit Datum; weitere alte Gutachten nur einzeln und unter ausdrücklicher Begrenzung ihrer Aussagen.</w:t>
            </w:r>
          </w:p>
        </w:tc>
      </w:tr>
      <w:tr>
        <w:tc>
          <w:tcPr>
            <w:tcW w:type="dxa" w:w="850"/>
            <w:vAlign w:val="center"/>
            <w:tcMar>
              <w:top w:w="70" w:type="dxa"/>
              <w:bottom w:w="70" w:type="dxa"/>
              <w:left w:w="90" w:type="dxa"/>
              <w:right w:w="90" w:type="dxa"/>
            </w:tcMar>
          </w:tcPr>
          <w:p>
            <w:pPr>
              <w:spacing w:after="60" w:before="60" w:line="245" w:lineRule="auto"/>
            </w:pPr>
            <w:r>
              <w:rPr>
                <w:sz w:val="20"/>
              </w:rPr>
              <w:t>K10</w:t>
            </w:r>
          </w:p>
        </w:tc>
        <w:tc>
          <w:tcPr>
            <w:tcW w:type="dxa" w:w="8561"/>
            <w:vAlign w:val="center"/>
            <w:tcMar>
              <w:top w:w="70" w:type="dxa"/>
              <w:bottom w:w="70" w:type="dxa"/>
              <w:left w:w="90" w:type="dxa"/>
              <w:right w:w="90" w:type="dxa"/>
            </w:tcMar>
          </w:tcPr>
          <w:p>
            <w:pPr>
              <w:spacing w:after="60" w:before="60" w:line="245" w:lineRule="auto"/>
            </w:pPr>
            <w:r>
              <w:rPr>
                <w:sz w:val="20"/>
              </w:rPr>
              <w:t>Wissenschaftliche Mitwirkungsbestätigung, konkret bezifferte Angebote, Methodik und gegebenenfalls Datenlückennachweis.</w:t>
            </w:r>
          </w:p>
        </w:tc>
      </w:tr>
    </w:tbl>
    <w:p/>
    <w:p>
      <w:pPr>
        <w:pStyle w:val="Heading1"/>
      </w:pPr>
      <w:r>
        <w:t>F.7 Freigabe und Versandkontrolle</w:t>
      </w:r>
    </w:p>
    <w:p>
      <w:r>
        <w:t>Alle Felder ausgefüllt oder unzutreffende Varianten entfernt: {Name/Datum}. Jedes Zitat am tatsächlichen Original geprüft: {Name/Datum}. Entscheidung über gewählte Beweisanträge: {Angabe}. A01 nennt die tatsächlichen Versionen und Seitenzahlen: {Bestätigung}. Unterschrift und Einreichungsweg: {Angabe}. Tatsächlicher Eingang bei Gericht: {Nachweis}. Fristenverwaltung nach Versand aktualisiert: {Angabe}.</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A06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Individueller Sachverhalt und Anlagen</dc:title>
  <dc:subject>A06 -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