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A02  |  Bestandteil des individuell zusammengestellten Pakets</w:t>
      </w:r>
    </w:p>
    <w:p>
      <w:pPr>
        <w:pStyle w:val="Title"/>
      </w:pPr>
      <w:r>
        <w:t>Inhalts- und Modulverzeichnis</w:t>
      </w:r>
    </w:p>
    <w:p>
      <w:pPr>
        <w:pStyle w:val="Subtitle"/>
      </w:pPr>
      <w:r>
        <w:t>Stabile Abschnittskennungen statt fehleranfälliger Gesamtpaginierung</w:t>
      </w:r>
    </w:p>
    <w:p>
      <w:r>
        <w:t>A00 Deckblatt. A01 Anträge und Unterschrift. A02 Dieses Verzeichnis. A03 Klagebegründung. A04 Ausgewählte Aufklärungs- und Beweisanträge. A06 Fallblatt, Tatsachen- und Anlagenregister. G01 Privatgutachterliche Stellungnahme, soweit tatsächlich beigefügt.</w:t>
      </w:r>
    </w:p>
    <w:p>
      <w:r/>
      <w:r>
        <w:rPr>
          <w:b/>
        </w:rPr>
        <w:t>A03 - Begründung</w:t>
      </w:r>
      <w:r/>
    </w:p>
    <w:p>
      <w:r>
        <w:t>A.1  Gegenstand und Konzentration der Klage</w:t>
      </w:r>
    </w:p>
    <w:p>
      <w:r>
        <w:t>A.2  Individueller Verfahrensablauf und Zulässigkeit</w:t>
      </w:r>
    </w:p>
    <w:p>
      <w:r>
        <w:t>A.3  Zeitraum und konkrete Rechtsgrundlagen</w:t>
      </w:r>
    </w:p>
    <w:p>
      <w:r>
        <w:t>A.4  Verfassungsrechtlicher Prüfungsmaßstab</w:t>
      </w:r>
    </w:p>
    <w:p>
      <w:r>
        <w:t>A.5  Präzisierung gegenüber der bisherigen Standardbegründung</w:t>
      </w:r>
    </w:p>
    <w:p>
      <w:r>
        <w:t>A.6  Vorhandene Tatsachen und Reichweite der Gutachten</w:t>
      </w:r>
    </w:p>
    <w:p>
      <w:r>
        <w:t>A.7  Die individualisierte Programmrüge</w:t>
      </w:r>
    </w:p>
    <w:p>
      <w:r>
        <w:t>A.8  Kontrollmechanismen und Beschwerdebefunde</w:t>
      </w:r>
    </w:p>
    <w:p>
      <w:r>
        <w:t>A.9  Konkrete Erkenntnislücken und bisherige Beschaffungsversuche</w:t>
      </w:r>
    </w:p>
    <w:p>
      <w:r>
        <w:t>A.10  Substantiierungsschwelle und gestufte Amtsermittlung</w:t>
      </w:r>
    </w:p>
    <w:p>
      <w:r>
        <w:t>A.11  Verhältnismäßigkeit und Mannheimer Gegenposition</w:t>
      </w:r>
    </w:p>
    <w:p>
      <w:r>
        <w:t>A.12  Mitwirkung, Vorlage und Schutzinteressen</w:t>
      </w:r>
    </w:p>
    <w:p>
      <w:r>
        <w:t>A.13  Wissenschaftlicher Untersuchungsauftrag</w:t>
      </w:r>
    </w:p>
    <w:p>
      <w:r>
        <w:t>A.14  Rechtliche Folgerung und Normenkontrolle</w:t>
      </w:r>
    </w:p>
    <w:p>
      <w:r>
        <w:t>A.15  Verfahrensgestaltung, Kosten und Schluss</w:t>
      </w:r>
    </w:p>
    <w:p>
      <w:r/>
      <w:r>
        <w:rPr>
          <w:b/>
        </w:rPr>
        <w:t>Optionale, nicht gemeinsam automatisch einzureichende Dateien:</w:t>
      </w:r>
      <w:r>
        <w:t xml:space="preserve"> A05 ist ein eigenständiger Ergänzungsschriftsatz für bereits anhängige Verfahren. A07 ist das kurze Begleitschreiben. A08 ist eine reduzierte fristwahrende Klage nur für passende Einzelfälle. Die internen Dateien 00, P00 und Q02 werden nicht ohne besonderen Grund als Klageanlagen verwendet.</w:t>
      </w:r>
    </w:p>
    <w:p>
      <w:r>
        <w:t>Alle Module haben eigene Seitenzahlen im Format Modul / Seite. Bei einem späteren Austausch eines Moduls wird seine Versionsangabe im unterschriebenen A01 und im Versandverzeichnis berichtigt. Eine neue Modulfassung darf nicht stillschweigend die bereits eingereichte Fassung ersetzen.</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A02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Inhalts- und Modulverzeichnis</dc:title>
  <dc:subject>A02 -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