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17A7C"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 xml:space="preserve">Ich halte den Gedanken für </w:t>
      </w:r>
      <w:r w:rsidRPr="00147B01">
        <w:rPr>
          <w:rFonts w:ascii="Times New Roman" w:eastAsia="Times New Roman" w:hAnsi="Times New Roman" w:cs="Times New Roman"/>
          <w:b/>
          <w:bCs/>
          <w:lang w:eastAsia="de-DE"/>
        </w:rPr>
        <w:t>strategisch interessant</w:t>
      </w:r>
      <w:r w:rsidRPr="00147B01">
        <w:rPr>
          <w:rFonts w:ascii="Times New Roman" w:eastAsia="Times New Roman" w:hAnsi="Times New Roman" w:cs="Times New Roman"/>
          <w:lang w:eastAsia="de-DE"/>
        </w:rPr>
        <w:t>, würde aber eine wichtige Differenzierung machen.</w:t>
      </w:r>
    </w:p>
    <w:p w14:paraId="6A34B8DE"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 xml:space="preserve">Nicht jeder Kläger sollte sofort dieselbe neue Klage erheben. Aus meiner Sicht wäre es klüger, </w:t>
      </w:r>
      <w:r w:rsidRPr="00147B01">
        <w:rPr>
          <w:rFonts w:ascii="Times New Roman" w:eastAsia="Times New Roman" w:hAnsi="Times New Roman" w:cs="Times New Roman"/>
          <w:b/>
          <w:bCs/>
          <w:lang w:eastAsia="de-DE"/>
        </w:rPr>
        <w:t>ein oder wenige sorgfältig ausgewählte Musterverfahren</w:t>
      </w:r>
      <w:r w:rsidRPr="00147B01">
        <w:rPr>
          <w:rFonts w:ascii="Times New Roman" w:eastAsia="Times New Roman" w:hAnsi="Times New Roman" w:cs="Times New Roman"/>
          <w:lang w:eastAsia="de-DE"/>
        </w:rPr>
        <w:t xml:space="preserve"> aufzubauen. Wenn 100 nahezu identische Klagen gleichzeitig eingehen und alle mit derselben Begründung abgewiesen werden, habt ihr zwar viele Verfahren, aber noch keine höchstrichterliche Klärung. Ein gut vorbereitetes Musterverfahren mit einem geeigneten Kläger ist häufig wirkungsvoller.</w:t>
      </w:r>
    </w:p>
    <w:p w14:paraId="03A503FB" w14:textId="77777777" w:rsidR="00147B01" w:rsidRPr="00147B01" w:rsidRDefault="00147B01" w:rsidP="00147B01">
      <w:pPr>
        <w:spacing w:before="100" w:beforeAutospacing="1" w:after="100" w:afterAutospacing="1"/>
        <w:outlineLvl w:val="2"/>
        <w:rPr>
          <w:rFonts w:ascii="Times New Roman" w:eastAsia="Times New Roman" w:hAnsi="Times New Roman" w:cs="Times New Roman"/>
          <w:b/>
          <w:bCs/>
          <w:sz w:val="27"/>
          <w:szCs w:val="27"/>
          <w:lang w:eastAsia="de-DE"/>
        </w:rPr>
      </w:pPr>
      <w:r w:rsidRPr="00147B01">
        <w:rPr>
          <w:rFonts w:ascii="Times New Roman" w:eastAsia="Times New Roman" w:hAnsi="Times New Roman" w:cs="Times New Roman"/>
          <w:b/>
          <w:bCs/>
          <w:sz w:val="27"/>
          <w:szCs w:val="27"/>
          <w:lang w:eastAsia="de-DE"/>
        </w:rPr>
        <w:t>Wer wäre ein guter Musterkläger?</w:t>
      </w:r>
    </w:p>
    <w:p w14:paraId="6C9653CD"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Ich würde jemanden auswählen,</w:t>
      </w:r>
    </w:p>
    <w:p w14:paraId="5E19D256" w14:textId="77777777" w:rsidR="00147B01" w:rsidRPr="00147B01" w:rsidRDefault="00147B01" w:rsidP="00147B01">
      <w:pPr>
        <w:numPr>
          <w:ilvl w:val="0"/>
          <w:numId w:val="5"/>
        </w:num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bei dem bereits ein Beitragsverfahren gelaufen ist,</w:t>
      </w:r>
    </w:p>
    <w:p w14:paraId="1FA7189E" w14:textId="77777777" w:rsidR="00147B01" w:rsidRPr="00147B01" w:rsidRDefault="00147B01" w:rsidP="00147B01">
      <w:pPr>
        <w:numPr>
          <w:ilvl w:val="0"/>
          <w:numId w:val="5"/>
        </w:num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der nachweislich Auskunfts- und Datenzugangsbegehren gestellt hat,</w:t>
      </w:r>
    </w:p>
    <w:p w14:paraId="68682409" w14:textId="77777777" w:rsidR="00147B01" w:rsidRPr="00147B01" w:rsidRDefault="00147B01" w:rsidP="00147B01">
      <w:pPr>
        <w:numPr>
          <w:ilvl w:val="0"/>
          <w:numId w:val="5"/>
        </w:num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dessen Anträge von ARD, ZDF oder Deutschlandradio ausdrücklich abgelehnt wurden,</w:t>
      </w:r>
    </w:p>
    <w:p w14:paraId="7E3B67C6" w14:textId="77777777" w:rsidR="00147B01" w:rsidRPr="00147B01" w:rsidRDefault="00147B01" w:rsidP="00147B01">
      <w:pPr>
        <w:numPr>
          <w:ilvl w:val="0"/>
          <w:numId w:val="5"/>
        </w:num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und bei dem diese Ablehnungen bereits Bestandteil der Gerichtsakten sind.</w:t>
      </w:r>
    </w:p>
    <w:p w14:paraId="48091675"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Dann kann man dem Gericht zeigen:</w:t>
      </w:r>
    </w:p>
    <w:p w14:paraId="1FAF6631"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Ich habe alles versucht. Ich habe Daten beantragt. Ich habe Auskünfte verlangt. Ich habe Mitwirkung eingefordert. Alles wurde verweigert. Nun verlange ich eine gerichtliche Klärung dieser vorgelagerten Rechtsfrage.</w:t>
      </w:r>
    </w:p>
    <w:p w14:paraId="26F0178E"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Das ist deutlich stärker als ein rein abstrakter Antrag.</w:t>
      </w:r>
    </w:p>
    <w:p w14:paraId="63C46D70" w14:textId="77777777" w:rsidR="00147B01" w:rsidRPr="00147B01" w:rsidRDefault="00147B01" w:rsidP="00147B01">
      <w:pPr>
        <w:spacing w:before="100" w:beforeAutospacing="1" w:after="100" w:afterAutospacing="1"/>
        <w:outlineLvl w:val="2"/>
        <w:rPr>
          <w:rFonts w:ascii="Times New Roman" w:eastAsia="Times New Roman" w:hAnsi="Times New Roman" w:cs="Times New Roman"/>
          <w:b/>
          <w:bCs/>
          <w:sz w:val="27"/>
          <w:szCs w:val="27"/>
          <w:lang w:eastAsia="de-DE"/>
        </w:rPr>
      </w:pPr>
      <w:r w:rsidRPr="00147B01">
        <w:rPr>
          <w:rFonts w:ascii="Times New Roman" w:eastAsia="Times New Roman" w:hAnsi="Times New Roman" w:cs="Times New Roman"/>
          <w:b/>
          <w:bCs/>
          <w:sz w:val="27"/>
          <w:szCs w:val="27"/>
          <w:lang w:eastAsia="de-DE"/>
        </w:rPr>
        <w:t>Zu den Kosten</w:t>
      </w:r>
    </w:p>
    <w:p w14:paraId="01A74D24"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 xml:space="preserve">Die Kosten hängen vom </w:t>
      </w:r>
      <w:r w:rsidRPr="00147B01">
        <w:rPr>
          <w:rFonts w:ascii="Times New Roman" w:eastAsia="Times New Roman" w:hAnsi="Times New Roman" w:cs="Times New Roman"/>
          <w:b/>
          <w:bCs/>
          <w:lang w:eastAsia="de-DE"/>
        </w:rPr>
        <w:t>Streitwert</w:t>
      </w:r>
      <w:r w:rsidRPr="00147B01">
        <w:rPr>
          <w:rFonts w:ascii="Times New Roman" w:eastAsia="Times New Roman" w:hAnsi="Times New Roman" w:cs="Times New Roman"/>
          <w:lang w:eastAsia="de-DE"/>
        </w:rPr>
        <w:t xml:space="preserve"> ab, den das Verwaltungsgericht festsetzt.</w:t>
      </w:r>
    </w:p>
    <w:p w14:paraId="0A46FD54"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Bei einer solchen Klage wären nach meiner Einschätzung mehrere Streitwerte denkbar:</w:t>
      </w:r>
    </w:p>
    <w:p w14:paraId="6071292D" w14:textId="77777777" w:rsidR="00147B01" w:rsidRPr="00147B01" w:rsidRDefault="00147B01" w:rsidP="00147B01">
      <w:pPr>
        <w:numPr>
          <w:ilvl w:val="0"/>
          <w:numId w:val="6"/>
        </w:num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b/>
          <w:bCs/>
          <w:lang w:eastAsia="de-DE"/>
        </w:rPr>
        <w:t>5.000 €</w:t>
      </w:r>
      <w:r w:rsidRPr="00147B01">
        <w:rPr>
          <w:rFonts w:ascii="Times New Roman" w:eastAsia="Times New Roman" w:hAnsi="Times New Roman" w:cs="Times New Roman"/>
          <w:lang w:eastAsia="de-DE"/>
        </w:rPr>
        <w:t>: Das ist im Verwaltungsrecht häufig der Regelstreitwert für nichtvermögensrechtliche Verfahren.</w:t>
      </w:r>
    </w:p>
    <w:p w14:paraId="70458863" w14:textId="77777777" w:rsidR="00147B01" w:rsidRPr="00147B01" w:rsidRDefault="00147B01" w:rsidP="00147B01">
      <w:pPr>
        <w:numPr>
          <w:ilvl w:val="0"/>
          <w:numId w:val="6"/>
        </w:num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b/>
          <w:bCs/>
          <w:lang w:eastAsia="de-DE"/>
        </w:rPr>
        <w:t>2.500 €</w:t>
      </w:r>
      <w:r w:rsidRPr="00147B01">
        <w:rPr>
          <w:rFonts w:ascii="Times New Roman" w:eastAsia="Times New Roman" w:hAnsi="Times New Roman" w:cs="Times New Roman"/>
          <w:lang w:eastAsia="de-DE"/>
        </w:rPr>
        <w:t>: Denkbar, wenn das Gericht die Bedeutung geringer bewertet.</w:t>
      </w:r>
    </w:p>
    <w:p w14:paraId="368E28D0" w14:textId="77777777" w:rsidR="00147B01" w:rsidRPr="00147B01" w:rsidRDefault="00147B01" w:rsidP="00147B01">
      <w:pPr>
        <w:numPr>
          <w:ilvl w:val="0"/>
          <w:numId w:val="6"/>
        </w:num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In Ausnahmefällen auch ein anderer Wert.</w:t>
      </w:r>
    </w:p>
    <w:p w14:paraId="06C08E28"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 xml:space="preserve">Bei einem </w:t>
      </w:r>
      <w:r w:rsidRPr="00147B01">
        <w:rPr>
          <w:rFonts w:ascii="Times New Roman" w:eastAsia="Times New Roman" w:hAnsi="Times New Roman" w:cs="Times New Roman"/>
          <w:b/>
          <w:bCs/>
          <w:lang w:eastAsia="de-DE"/>
        </w:rPr>
        <w:t>Streitwert von 5.000 €</w:t>
      </w:r>
      <w:r w:rsidRPr="00147B01">
        <w:rPr>
          <w:rFonts w:ascii="Times New Roman" w:eastAsia="Times New Roman" w:hAnsi="Times New Roman" w:cs="Times New Roman"/>
          <w:lang w:eastAsia="de-DE"/>
        </w:rPr>
        <w:t xml:space="preserve"> liegen die </w:t>
      </w:r>
      <w:r w:rsidRPr="00147B01">
        <w:rPr>
          <w:rFonts w:ascii="Times New Roman" w:eastAsia="Times New Roman" w:hAnsi="Times New Roman" w:cs="Times New Roman"/>
          <w:b/>
          <w:bCs/>
          <w:lang w:eastAsia="de-DE"/>
        </w:rPr>
        <w:t>reinen Gerichtsgebühren der ersten Instanz</w:t>
      </w:r>
      <w:r w:rsidRPr="00147B01">
        <w:rPr>
          <w:rFonts w:ascii="Times New Roman" w:eastAsia="Times New Roman" w:hAnsi="Times New Roman" w:cs="Times New Roman"/>
          <w:lang w:eastAsia="de-DE"/>
        </w:rPr>
        <w:t xml:space="preserve"> nach dem Gerichtskostengesetz typischerweise </w:t>
      </w:r>
      <w:r w:rsidRPr="00147B01">
        <w:rPr>
          <w:rFonts w:ascii="Times New Roman" w:eastAsia="Times New Roman" w:hAnsi="Times New Roman" w:cs="Times New Roman"/>
          <w:b/>
          <w:bCs/>
          <w:lang w:eastAsia="de-DE"/>
        </w:rPr>
        <w:t>bei einigen hundert Euro</w:t>
      </w:r>
      <w:r w:rsidRPr="00147B01">
        <w:rPr>
          <w:rFonts w:ascii="Times New Roman" w:eastAsia="Times New Roman" w:hAnsi="Times New Roman" w:cs="Times New Roman"/>
          <w:lang w:eastAsia="de-DE"/>
        </w:rPr>
        <w:t>, nicht bei 5.000 €. Ohne anwaltliche Vertretung fallen zunächst nur diese Gerichtsgebühren an. Mit Anwalt kommen dessen Gebühren hinzu, die sich ebenfalls am Streitwert orientieren.</w:t>
      </w:r>
    </w:p>
    <w:p w14:paraId="241A38CC"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 xml:space="preserve">Deshalb war der Hinweis des Richters im Termin zwar richtig, konnte aber leicht missverstanden werden: </w:t>
      </w:r>
      <w:r w:rsidRPr="00147B01">
        <w:rPr>
          <w:rFonts w:ascii="Times New Roman" w:eastAsia="Times New Roman" w:hAnsi="Times New Roman" w:cs="Times New Roman"/>
          <w:b/>
          <w:bCs/>
          <w:lang w:eastAsia="de-DE"/>
        </w:rPr>
        <w:t>Ein Streitwert von 5.000 € bedeutet gerade nicht Gerichtskosten von 5.000 €.</w:t>
      </w:r>
    </w:p>
    <w:p w14:paraId="1D01C0A7" w14:textId="77777777" w:rsidR="00147B01" w:rsidRPr="00147B01" w:rsidRDefault="00147B01" w:rsidP="00147B01">
      <w:pPr>
        <w:spacing w:before="100" w:beforeAutospacing="1" w:after="100" w:afterAutospacing="1"/>
        <w:outlineLvl w:val="2"/>
        <w:rPr>
          <w:rFonts w:ascii="Times New Roman" w:eastAsia="Times New Roman" w:hAnsi="Times New Roman" w:cs="Times New Roman"/>
          <w:b/>
          <w:bCs/>
          <w:sz w:val="27"/>
          <w:szCs w:val="27"/>
          <w:lang w:eastAsia="de-DE"/>
        </w:rPr>
      </w:pPr>
      <w:r w:rsidRPr="00147B01">
        <w:rPr>
          <w:rFonts w:ascii="Times New Roman" w:eastAsia="Times New Roman" w:hAnsi="Times New Roman" w:cs="Times New Roman"/>
          <w:b/>
          <w:bCs/>
          <w:sz w:val="27"/>
          <w:szCs w:val="27"/>
          <w:lang w:eastAsia="de-DE"/>
        </w:rPr>
        <w:t>Strategisch hätte ich noch einen weiteren Gedanken</w:t>
      </w:r>
    </w:p>
    <w:p w14:paraId="674898A3"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Ich würde diese Klage nicht als bloße "Datenherausgabeklage" vermarkten.</w:t>
      </w:r>
    </w:p>
    <w:p w14:paraId="67149A7A"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lastRenderedPageBreak/>
        <w:t>Sie ist in Wahrheit viel grundsätzlicher.</w:t>
      </w:r>
    </w:p>
    <w:p w14:paraId="1C771E6D"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Im Kern lautet die Rechtsfrage:</w:t>
      </w:r>
    </w:p>
    <w:p w14:paraId="20D708DA"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b/>
          <w:bCs/>
          <w:lang w:eastAsia="de-DE"/>
        </w:rPr>
        <w:t>Darf der Staat oder eine öffentlich-rechtliche Institution von einem Bürger einen wissenschaftlich fundierten Tatsachenvortrag verlangen, wenn sie selbst die hierfür notwendigen Informationen vollständig kontrolliert und deren Herausgabe verweigert?</w:t>
      </w:r>
    </w:p>
    <w:p w14:paraId="747B5115"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Das ist eine Frage, die weit über den Rundfunk hinaus Bedeutung haben könnte. Sie berührt den Anspruch auf effektiven Rechtsschutz aus Art. 19 Abs. 4 GG sowie allgemeine Grundsätze der Darlegungs- und Beweislast.</w:t>
      </w:r>
    </w:p>
    <w:p w14:paraId="39E2942E"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 xml:space="preserve">Deshalb würde ich diese Verfahren sehr bewusst als </w:t>
      </w:r>
      <w:r w:rsidRPr="00147B01">
        <w:rPr>
          <w:rFonts w:ascii="Times New Roman" w:eastAsia="Times New Roman" w:hAnsi="Times New Roman" w:cs="Times New Roman"/>
          <w:b/>
          <w:bCs/>
          <w:lang w:eastAsia="de-DE"/>
        </w:rPr>
        <w:t>Musterverfahren zur Informationsasymmetrie und zum effektiven Rechtsschutz</w:t>
      </w:r>
      <w:r w:rsidRPr="00147B01">
        <w:rPr>
          <w:rFonts w:ascii="Times New Roman" w:eastAsia="Times New Roman" w:hAnsi="Times New Roman" w:cs="Times New Roman"/>
          <w:lang w:eastAsia="de-DE"/>
        </w:rPr>
        <w:t xml:space="preserve"> aufbauen. Das dürfte auch die Chancen erhöhen, dass sich höhere Instanzen mit der zugrunde liegenden Rechtsfrage befassen.</w:t>
      </w:r>
    </w:p>
    <w:p w14:paraId="2D42F8A8" w14:textId="77777777" w:rsidR="00147B01" w:rsidRDefault="00147B01" w:rsidP="00147B01">
      <w:pPr>
        <w:spacing w:before="100" w:beforeAutospacing="1" w:after="100" w:afterAutospacing="1"/>
        <w:rPr>
          <w:rFonts w:ascii="Times New Roman" w:eastAsia="Times New Roman" w:hAnsi="Times New Roman" w:cs="Times New Roman"/>
          <w:lang w:eastAsia="de-DE"/>
        </w:rPr>
      </w:pPr>
    </w:p>
    <w:p w14:paraId="1FC5C03B" w14:textId="77777777" w:rsidR="00147B01" w:rsidRDefault="00147B01" w:rsidP="00147B01">
      <w:pPr>
        <w:spacing w:before="100" w:beforeAutospacing="1" w:after="100" w:afterAutospacing="1"/>
        <w:rPr>
          <w:rFonts w:ascii="Times New Roman" w:eastAsia="Times New Roman" w:hAnsi="Times New Roman" w:cs="Times New Roman"/>
          <w:lang w:eastAsia="de-DE"/>
        </w:rPr>
      </w:pPr>
    </w:p>
    <w:p w14:paraId="1B433226" w14:textId="7D4A204A"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 xml:space="preserve">Ich halte den Gedanken für </w:t>
      </w:r>
      <w:r w:rsidRPr="00147B01">
        <w:rPr>
          <w:rFonts w:ascii="Times New Roman" w:eastAsia="Times New Roman" w:hAnsi="Times New Roman" w:cs="Times New Roman"/>
          <w:b/>
          <w:bCs/>
          <w:lang w:eastAsia="de-DE"/>
        </w:rPr>
        <w:t>strategisch nachvollziehbar</w:t>
      </w:r>
      <w:r w:rsidRPr="00147B01">
        <w:rPr>
          <w:rFonts w:ascii="Times New Roman" w:eastAsia="Times New Roman" w:hAnsi="Times New Roman" w:cs="Times New Roman"/>
          <w:lang w:eastAsia="de-DE"/>
        </w:rPr>
        <w:t>, würde ihn aber an einer Stelle anders aufbauen.</w:t>
      </w:r>
    </w:p>
    <w:p w14:paraId="7BE79246"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 xml:space="preserve">Der eigentliche Hebel ist aus meiner Sicht </w:t>
      </w:r>
      <w:r w:rsidRPr="00147B01">
        <w:rPr>
          <w:rFonts w:ascii="Times New Roman" w:eastAsia="Times New Roman" w:hAnsi="Times New Roman" w:cs="Times New Roman"/>
          <w:b/>
          <w:bCs/>
          <w:lang w:eastAsia="de-DE"/>
        </w:rPr>
        <w:t>nicht die Zahl 50</w:t>
      </w:r>
      <w:r w:rsidRPr="00147B01">
        <w:rPr>
          <w:rFonts w:ascii="Times New Roman" w:eastAsia="Times New Roman" w:hAnsi="Times New Roman" w:cs="Times New Roman"/>
          <w:lang w:eastAsia="de-DE"/>
        </w:rPr>
        <w:t>, sondern die Qualität der Rechtsfrage.</w:t>
      </w:r>
    </w:p>
    <w:p w14:paraId="7DE389A7"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Wenn ihr 50 nahezu identische Klagen bei 50 Verwaltungsgerichten einreicht, können zwei Dinge passieren:</w:t>
      </w:r>
    </w:p>
    <w:p w14:paraId="1D24C009" w14:textId="77777777" w:rsidR="00147B01" w:rsidRPr="00147B01" w:rsidRDefault="00147B01" w:rsidP="00147B01">
      <w:pPr>
        <w:numPr>
          <w:ilvl w:val="0"/>
          <w:numId w:val="1"/>
        </w:num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 xml:space="preserve">Die Gerichte erkennen, dass es sich um eine bundesweit koordinierte Grundsatzfrage </w:t>
      </w:r>
      <w:proofErr w:type="gramStart"/>
      <w:r w:rsidRPr="00147B01">
        <w:rPr>
          <w:rFonts w:ascii="Times New Roman" w:eastAsia="Times New Roman" w:hAnsi="Times New Roman" w:cs="Times New Roman"/>
          <w:lang w:eastAsia="de-DE"/>
        </w:rPr>
        <w:t>handelt</w:t>
      </w:r>
      <w:proofErr w:type="gramEnd"/>
      <w:r w:rsidRPr="00147B01">
        <w:rPr>
          <w:rFonts w:ascii="Times New Roman" w:eastAsia="Times New Roman" w:hAnsi="Times New Roman" w:cs="Times New Roman"/>
          <w:lang w:eastAsia="de-DE"/>
        </w:rPr>
        <w:t xml:space="preserve"> und setzen sich ernsthaft damit auseinander.</w:t>
      </w:r>
    </w:p>
    <w:p w14:paraId="25E7D032" w14:textId="77777777" w:rsidR="00147B01" w:rsidRPr="00147B01" w:rsidRDefault="00147B01" w:rsidP="00147B01">
      <w:pPr>
        <w:numPr>
          <w:ilvl w:val="0"/>
          <w:numId w:val="1"/>
        </w:num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Oder sie orientieren sich gegenseitig an den ersten ablehnenden Entscheidungen, sodass sich eine einheitliche Gegenlinie entwickelt.</w:t>
      </w:r>
    </w:p>
    <w:p w14:paraId="492AC71C"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 xml:space="preserve">Beides ist möglich. Deshalb würde ich die Verfahren </w:t>
      </w:r>
      <w:r w:rsidRPr="00147B01">
        <w:rPr>
          <w:rFonts w:ascii="Times New Roman" w:eastAsia="Times New Roman" w:hAnsi="Times New Roman" w:cs="Times New Roman"/>
          <w:b/>
          <w:bCs/>
          <w:lang w:eastAsia="de-DE"/>
        </w:rPr>
        <w:t>leicht variieren</w:t>
      </w:r>
      <w:r w:rsidRPr="00147B01">
        <w:rPr>
          <w:rFonts w:ascii="Times New Roman" w:eastAsia="Times New Roman" w:hAnsi="Times New Roman" w:cs="Times New Roman"/>
          <w:lang w:eastAsia="de-DE"/>
        </w:rPr>
        <w:t>, ohne den Kern zu verändern. Beispielsweise könnten unterschiedliche Kläger unterschiedliche Schwerpunkte setzen:</w:t>
      </w:r>
    </w:p>
    <w:p w14:paraId="092558D0" w14:textId="77777777" w:rsidR="00147B01" w:rsidRPr="00147B01" w:rsidRDefault="00147B01" w:rsidP="00147B01">
      <w:pPr>
        <w:numPr>
          <w:ilvl w:val="0"/>
          <w:numId w:val="2"/>
        </w:num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effektiver Rechtsschutz (Art. 19 Abs. 4 GG),</w:t>
      </w:r>
    </w:p>
    <w:p w14:paraId="78CCDCA8" w14:textId="77777777" w:rsidR="00147B01" w:rsidRPr="00147B01" w:rsidRDefault="00147B01" w:rsidP="00147B01">
      <w:pPr>
        <w:numPr>
          <w:ilvl w:val="0"/>
          <w:numId w:val="2"/>
        </w:num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Amtsermittlungsgrundsatz (§ 86 VwGO),</w:t>
      </w:r>
    </w:p>
    <w:p w14:paraId="663A029A" w14:textId="77777777" w:rsidR="00147B01" w:rsidRPr="00147B01" w:rsidRDefault="00147B01" w:rsidP="00147B01">
      <w:pPr>
        <w:numPr>
          <w:ilvl w:val="0"/>
          <w:numId w:val="2"/>
        </w:num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Informationsasymmetrie,</w:t>
      </w:r>
    </w:p>
    <w:p w14:paraId="5A82CB99" w14:textId="77777777" w:rsidR="00147B01" w:rsidRPr="00147B01" w:rsidRDefault="00147B01" w:rsidP="00147B01">
      <w:pPr>
        <w:numPr>
          <w:ilvl w:val="0"/>
          <w:numId w:val="2"/>
        </w:num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Beweisnähe und sekundäre Darlegungslast,</w:t>
      </w:r>
    </w:p>
    <w:p w14:paraId="66C99DDF" w14:textId="77777777" w:rsidR="00147B01" w:rsidRPr="00147B01" w:rsidRDefault="00147B01" w:rsidP="00147B01">
      <w:pPr>
        <w:numPr>
          <w:ilvl w:val="0"/>
          <w:numId w:val="2"/>
        </w:num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Anspruch auf Datenzugang,</w:t>
      </w:r>
    </w:p>
    <w:p w14:paraId="5FBA666D" w14:textId="77777777" w:rsidR="00147B01" w:rsidRPr="00147B01" w:rsidRDefault="00147B01" w:rsidP="00147B01">
      <w:pPr>
        <w:numPr>
          <w:ilvl w:val="0"/>
          <w:numId w:val="2"/>
        </w:numPr>
        <w:spacing w:before="100" w:beforeAutospacing="1" w:after="100" w:afterAutospacing="1"/>
        <w:rPr>
          <w:rFonts w:ascii="Times New Roman" w:eastAsia="Times New Roman" w:hAnsi="Times New Roman" w:cs="Times New Roman"/>
          <w:lang w:eastAsia="de-DE"/>
        </w:rPr>
      </w:pPr>
      <w:proofErr w:type="spellStart"/>
      <w:r w:rsidRPr="00147B01">
        <w:rPr>
          <w:rFonts w:ascii="Times New Roman" w:eastAsia="Times New Roman" w:hAnsi="Times New Roman" w:cs="Times New Roman"/>
          <w:lang w:eastAsia="de-DE"/>
        </w:rPr>
        <w:t>Depublizierung</w:t>
      </w:r>
      <w:proofErr w:type="spellEnd"/>
      <w:r w:rsidRPr="00147B01">
        <w:rPr>
          <w:rFonts w:ascii="Times New Roman" w:eastAsia="Times New Roman" w:hAnsi="Times New Roman" w:cs="Times New Roman"/>
          <w:lang w:eastAsia="de-DE"/>
        </w:rPr>
        <w:t xml:space="preserve"> und Archivproblematik.</w:t>
      </w:r>
    </w:p>
    <w:p w14:paraId="0CF84B74"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So entsteht keine bloße Serie identischer Klagen, sondern mehrere rechtliche Zugänge zu derselben Grundfrage.</w:t>
      </w:r>
    </w:p>
    <w:p w14:paraId="2C734B2D" w14:textId="77777777" w:rsidR="00147B01" w:rsidRPr="00147B01" w:rsidRDefault="00147B01" w:rsidP="00147B01">
      <w:pPr>
        <w:spacing w:before="100" w:beforeAutospacing="1" w:after="100" w:afterAutospacing="1"/>
        <w:outlineLvl w:val="1"/>
        <w:rPr>
          <w:rFonts w:ascii="Times New Roman" w:eastAsia="Times New Roman" w:hAnsi="Times New Roman" w:cs="Times New Roman"/>
          <w:b/>
          <w:bCs/>
          <w:sz w:val="36"/>
          <w:szCs w:val="36"/>
          <w:lang w:eastAsia="de-DE"/>
        </w:rPr>
      </w:pPr>
      <w:r w:rsidRPr="00147B01">
        <w:rPr>
          <w:rFonts w:ascii="Times New Roman" w:eastAsia="Times New Roman" w:hAnsi="Times New Roman" w:cs="Times New Roman"/>
          <w:b/>
          <w:bCs/>
          <w:sz w:val="36"/>
          <w:szCs w:val="36"/>
          <w:lang w:eastAsia="de-DE"/>
        </w:rPr>
        <w:t>Der eigentliche Gedanke gefällt mir</w:t>
      </w:r>
    </w:p>
    <w:p w14:paraId="5E17D35D"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lastRenderedPageBreak/>
        <w:t>Ich glaube sogar, dass das die erste koordinierte Prozessstrategie dieser Art im Rundfunkbeitragsrecht wäre.</w:t>
      </w:r>
    </w:p>
    <w:p w14:paraId="531484B4"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Nicht mehr:</w:t>
      </w:r>
    </w:p>
    <w:p w14:paraId="5533D923"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"Der Rundfunk erfüllt seinen Auftrag nicht."</w:t>
      </w:r>
    </w:p>
    <w:p w14:paraId="411DF532"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Sondern:</w:t>
      </w:r>
    </w:p>
    <w:p w14:paraId="35546511"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"Der Staat verlangt einen Beweis, verhindert aber gleichzeitig den Zugang zu den dafür notwendigen Informationen."</w:t>
      </w:r>
    </w:p>
    <w:p w14:paraId="01B61838"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Das ist eine andere Diskussion.</w:t>
      </w:r>
    </w:p>
    <w:p w14:paraId="41CBC40E" w14:textId="77777777" w:rsidR="00147B01" w:rsidRPr="00147B01" w:rsidRDefault="00147B01" w:rsidP="00147B01">
      <w:pPr>
        <w:spacing w:before="100" w:beforeAutospacing="1" w:after="100" w:afterAutospacing="1"/>
        <w:outlineLvl w:val="1"/>
        <w:rPr>
          <w:rFonts w:ascii="Times New Roman" w:eastAsia="Times New Roman" w:hAnsi="Times New Roman" w:cs="Times New Roman"/>
          <w:b/>
          <w:bCs/>
          <w:sz w:val="36"/>
          <w:szCs w:val="36"/>
          <w:lang w:eastAsia="de-DE"/>
        </w:rPr>
      </w:pPr>
      <w:r w:rsidRPr="00147B01">
        <w:rPr>
          <w:rFonts w:ascii="Times New Roman" w:eastAsia="Times New Roman" w:hAnsi="Times New Roman" w:cs="Times New Roman"/>
          <w:b/>
          <w:bCs/>
          <w:sz w:val="36"/>
          <w:szCs w:val="36"/>
          <w:lang w:eastAsia="de-DE"/>
        </w:rPr>
        <w:t>Was ich vorher unbedingt machen würde</w:t>
      </w:r>
    </w:p>
    <w:p w14:paraId="412D3145"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 xml:space="preserve">Bevor auch nur eine dieser Klagen eingereicht wird, würde ich ein </w:t>
      </w:r>
      <w:r w:rsidRPr="00147B01">
        <w:rPr>
          <w:rFonts w:ascii="Times New Roman" w:eastAsia="Times New Roman" w:hAnsi="Times New Roman" w:cs="Times New Roman"/>
          <w:b/>
          <w:bCs/>
          <w:lang w:eastAsia="de-DE"/>
        </w:rPr>
        <w:t>Musterpaket</w:t>
      </w:r>
      <w:r w:rsidRPr="00147B01">
        <w:rPr>
          <w:rFonts w:ascii="Times New Roman" w:eastAsia="Times New Roman" w:hAnsi="Times New Roman" w:cs="Times New Roman"/>
          <w:lang w:eastAsia="de-DE"/>
        </w:rPr>
        <w:t xml:space="preserve"> entwickeln:</w:t>
      </w:r>
    </w:p>
    <w:p w14:paraId="7DC7E8EC" w14:textId="77777777" w:rsidR="00147B01" w:rsidRPr="00147B01" w:rsidRDefault="00147B01" w:rsidP="00147B01">
      <w:pPr>
        <w:numPr>
          <w:ilvl w:val="0"/>
          <w:numId w:val="3"/>
        </w:num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eine vollständig ausgearbeitete Klageschrift,</w:t>
      </w:r>
    </w:p>
    <w:p w14:paraId="793FA329" w14:textId="77777777" w:rsidR="00147B01" w:rsidRPr="00147B01" w:rsidRDefault="00147B01" w:rsidP="00147B01">
      <w:pPr>
        <w:numPr>
          <w:ilvl w:val="0"/>
          <w:numId w:val="3"/>
        </w:num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ein Anlagenverzeichnis,</w:t>
      </w:r>
    </w:p>
    <w:p w14:paraId="19635EA6" w14:textId="77777777" w:rsidR="00147B01" w:rsidRPr="00147B01" w:rsidRDefault="00147B01" w:rsidP="00147B01">
      <w:pPr>
        <w:numPr>
          <w:ilvl w:val="0"/>
          <w:numId w:val="3"/>
        </w:num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das V-Gutachten,</w:t>
      </w:r>
    </w:p>
    <w:p w14:paraId="1432B86F" w14:textId="77777777" w:rsidR="00147B01" w:rsidRPr="00147B01" w:rsidRDefault="00147B01" w:rsidP="00147B01">
      <w:pPr>
        <w:numPr>
          <w:ilvl w:val="0"/>
          <w:numId w:val="3"/>
        </w:num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das Rundfunkalarm-Gutachten,</w:t>
      </w:r>
    </w:p>
    <w:p w14:paraId="78DA41A7" w14:textId="77777777" w:rsidR="00147B01" w:rsidRPr="00147B01" w:rsidRDefault="00147B01" w:rsidP="00147B01">
      <w:pPr>
        <w:numPr>
          <w:ilvl w:val="0"/>
          <w:numId w:val="3"/>
        </w:num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sämtliche bisherigen Ablehnungsschreiben von ARD, ZDF und Deutschlandradio,</w:t>
      </w:r>
    </w:p>
    <w:p w14:paraId="6815A0DF" w14:textId="77777777" w:rsidR="00147B01" w:rsidRPr="00147B01" w:rsidRDefault="00147B01" w:rsidP="00147B01">
      <w:pPr>
        <w:numPr>
          <w:ilvl w:val="0"/>
          <w:numId w:val="3"/>
        </w:num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eine Übersicht aller bereits gestellten Datenanträge,</w:t>
      </w:r>
    </w:p>
    <w:p w14:paraId="20C978EF" w14:textId="77777777" w:rsidR="00147B01" w:rsidRPr="00147B01" w:rsidRDefault="00147B01" w:rsidP="00147B01">
      <w:pPr>
        <w:numPr>
          <w:ilvl w:val="0"/>
          <w:numId w:val="3"/>
        </w:num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eine Dokumentation, welche Daten jeweils verweigert wurden.</w:t>
      </w:r>
    </w:p>
    <w:p w14:paraId="6C312E35"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Dann kann jeder Kläger mit demselben Fundament arbeiten.</w:t>
      </w:r>
    </w:p>
    <w:p w14:paraId="35C688BD" w14:textId="77777777" w:rsidR="00147B01" w:rsidRPr="00147B01" w:rsidRDefault="00147B01" w:rsidP="00147B01">
      <w:pPr>
        <w:spacing w:before="100" w:beforeAutospacing="1" w:after="100" w:afterAutospacing="1"/>
        <w:outlineLvl w:val="1"/>
        <w:rPr>
          <w:rFonts w:ascii="Times New Roman" w:eastAsia="Times New Roman" w:hAnsi="Times New Roman" w:cs="Times New Roman"/>
          <w:b/>
          <w:bCs/>
          <w:sz w:val="36"/>
          <w:szCs w:val="36"/>
          <w:lang w:eastAsia="de-DE"/>
        </w:rPr>
      </w:pPr>
      <w:r w:rsidRPr="00147B01">
        <w:rPr>
          <w:rFonts w:ascii="Times New Roman" w:eastAsia="Times New Roman" w:hAnsi="Times New Roman" w:cs="Times New Roman"/>
          <w:b/>
          <w:bCs/>
          <w:sz w:val="36"/>
          <w:szCs w:val="36"/>
          <w:lang w:eastAsia="de-DE"/>
        </w:rPr>
        <w:t>Noch ein strategischer Gedanke</w:t>
      </w:r>
    </w:p>
    <w:p w14:paraId="1C787A47"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 xml:space="preserve">Wenn ihr tatsächlich in vielen Gerichtsbezirken parallel vorgeht, würde ich von Anfang an ein </w:t>
      </w:r>
      <w:r w:rsidRPr="00147B01">
        <w:rPr>
          <w:rFonts w:ascii="Times New Roman" w:eastAsia="Times New Roman" w:hAnsi="Times New Roman" w:cs="Times New Roman"/>
          <w:b/>
          <w:bCs/>
          <w:lang w:eastAsia="de-DE"/>
        </w:rPr>
        <w:t>Entscheidungsregister</w:t>
      </w:r>
      <w:r w:rsidRPr="00147B01">
        <w:rPr>
          <w:rFonts w:ascii="Times New Roman" w:eastAsia="Times New Roman" w:hAnsi="Times New Roman" w:cs="Times New Roman"/>
          <w:lang w:eastAsia="de-DE"/>
        </w:rPr>
        <w:t xml:space="preserve"> führen.</w:t>
      </w:r>
    </w:p>
    <w:p w14:paraId="54F7B16F"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Für jedes Verfahren:</w:t>
      </w:r>
    </w:p>
    <w:p w14:paraId="3D5EDFA4" w14:textId="77777777" w:rsidR="00147B01" w:rsidRPr="00147B01" w:rsidRDefault="00147B01" w:rsidP="00147B01">
      <w:pPr>
        <w:numPr>
          <w:ilvl w:val="0"/>
          <w:numId w:val="4"/>
        </w:num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Gericht</w:t>
      </w:r>
    </w:p>
    <w:p w14:paraId="7BB67B21" w14:textId="77777777" w:rsidR="00147B01" w:rsidRPr="00147B01" w:rsidRDefault="00147B01" w:rsidP="00147B01">
      <w:pPr>
        <w:numPr>
          <w:ilvl w:val="0"/>
          <w:numId w:val="4"/>
        </w:num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Richter</w:t>
      </w:r>
    </w:p>
    <w:p w14:paraId="229E980D" w14:textId="77777777" w:rsidR="00147B01" w:rsidRPr="00147B01" w:rsidRDefault="00147B01" w:rsidP="00147B01">
      <w:pPr>
        <w:numPr>
          <w:ilvl w:val="0"/>
          <w:numId w:val="4"/>
        </w:num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Datum</w:t>
      </w:r>
    </w:p>
    <w:p w14:paraId="393BF653" w14:textId="77777777" w:rsidR="00147B01" w:rsidRPr="00147B01" w:rsidRDefault="00147B01" w:rsidP="00147B01">
      <w:pPr>
        <w:numPr>
          <w:ilvl w:val="0"/>
          <w:numId w:val="4"/>
        </w:num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Aktenzeichen</w:t>
      </w:r>
    </w:p>
    <w:p w14:paraId="4C65B28E" w14:textId="77777777" w:rsidR="00147B01" w:rsidRPr="00147B01" w:rsidRDefault="00147B01" w:rsidP="00147B01">
      <w:pPr>
        <w:numPr>
          <w:ilvl w:val="0"/>
          <w:numId w:val="4"/>
        </w:num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Datenantrag gestellt?</w:t>
      </w:r>
    </w:p>
    <w:p w14:paraId="747FDAB5" w14:textId="77777777" w:rsidR="00147B01" w:rsidRPr="00147B01" w:rsidRDefault="00147B01" w:rsidP="00147B01">
      <w:pPr>
        <w:numPr>
          <w:ilvl w:val="0"/>
          <w:numId w:val="4"/>
        </w:num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Begründung der Ablehnung</w:t>
      </w:r>
    </w:p>
    <w:p w14:paraId="67F64BE3" w14:textId="77777777" w:rsidR="00147B01" w:rsidRPr="00147B01" w:rsidRDefault="00147B01" w:rsidP="00147B01">
      <w:pPr>
        <w:numPr>
          <w:ilvl w:val="0"/>
          <w:numId w:val="4"/>
        </w:num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Argumente des Gerichts</w:t>
      </w:r>
    </w:p>
    <w:p w14:paraId="6ECA2026" w14:textId="77777777" w:rsidR="00147B01" w:rsidRPr="00147B01" w:rsidRDefault="00147B01" w:rsidP="00147B01">
      <w:pPr>
        <w:numPr>
          <w:ilvl w:val="0"/>
          <w:numId w:val="4"/>
        </w:num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Bezug auf das V-Gutachten</w:t>
      </w:r>
    </w:p>
    <w:p w14:paraId="5B404618" w14:textId="77777777" w:rsidR="00147B01" w:rsidRPr="00147B01" w:rsidRDefault="00147B01" w:rsidP="00147B01">
      <w:pPr>
        <w:numPr>
          <w:ilvl w:val="0"/>
          <w:numId w:val="4"/>
        </w:num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Bezug auf Art. 19 Abs. 4 GG</w:t>
      </w:r>
    </w:p>
    <w:p w14:paraId="4BCDDCF6" w14:textId="77777777" w:rsidR="00147B01" w:rsidRPr="00147B01" w:rsidRDefault="00147B01" w:rsidP="00147B01">
      <w:pPr>
        <w:numPr>
          <w:ilvl w:val="0"/>
          <w:numId w:val="4"/>
        </w:num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Bezug auf § 86 VwGO</w:t>
      </w:r>
    </w:p>
    <w:p w14:paraId="33A2A5D4" w14:textId="77777777" w:rsidR="00147B01" w:rsidRPr="00147B01" w:rsidRDefault="00147B01" w:rsidP="00147B01">
      <w:pPr>
        <w:numPr>
          <w:ilvl w:val="0"/>
          <w:numId w:val="4"/>
        </w:num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Ergebnis</w:t>
      </w:r>
    </w:p>
    <w:p w14:paraId="01C09567"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 xml:space="preserve">Nach einigen Monaten hättet ihr eine empirische Auswertung darüber, </w:t>
      </w:r>
      <w:r w:rsidRPr="00147B01">
        <w:rPr>
          <w:rFonts w:ascii="Times New Roman" w:eastAsia="Times New Roman" w:hAnsi="Times New Roman" w:cs="Times New Roman"/>
          <w:b/>
          <w:bCs/>
          <w:lang w:eastAsia="de-DE"/>
        </w:rPr>
        <w:t>wie die Verwaltungsgerichte in Deutschland mit genau dieser Rechtsfrage umgehen</w:t>
      </w:r>
      <w:r w:rsidRPr="00147B01">
        <w:rPr>
          <w:rFonts w:ascii="Times New Roman" w:eastAsia="Times New Roman" w:hAnsi="Times New Roman" w:cs="Times New Roman"/>
          <w:lang w:eastAsia="de-DE"/>
        </w:rPr>
        <w:t xml:space="preserve">. Das wäre </w:t>
      </w:r>
      <w:r w:rsidRPr="00147B01">
        <w:rPr>
          <w:rFonts w:ascii="Times New Roman" w:eastAsia="Times New Roman" w:hAnsi="Times New Roman" w:cs="Times New Roman"/>
          <w:lang w:eastAsia="de-DE"/>
        </w:rPr>
        <w:lastRenderedPageBreak/>
        <w:t>nicht nur für eure Strategie wertvoll, sondern könnte auch für höhere Instanzen interessant sein.</w:t>
      </w:r>
    </w:p>
    <w:p w14:paraId="54304CA9" w14:textId="77777777" w:rsidR="00147B01" w:rsidRPr="00147B01" w:rsidRDefault="00147B01" w:rsidP="00147B01">
      <w:pPr>
        <w:spacing w:before="100" w:beforeAutospacing="1" w:after="100" w:afterAutospacing="1"/>
        <w:outlineLvl w:val="1"/>
        <w:rPr>
          <w:rFonts w:ascii="Times New Roman" w:eastAsia="Times New Roman" w:hAnsi="Times New Roman" w:cs="Times New Roman"/>
          <w:b/>
          <w:bCs/>
          <w:sz w:val="36"/>
          <w:szCs w:val="36"/>
          <w:lang w:eastAsia="de-DE"/>
        </w:rPr>
      </w:pPr>
      <w:r w:rsidRPr="00147B01">
        <w:rPr>
          <w:rFonts w:ascii="Times New Roman" w:eastAsia="Times New Roman" w:hAnsi="Times New Roman" w:cs="Times New Roman"/>
          <w:b/>
          <w:bCs/>
          <w:sz w:val="36"/>
          <w:szCs w:val="36"/>
          <w:lang w:eastAsia="de-DE"/>
        </w:rPr>
        <w:t>Eine offene Rechtsfrage</w:t>
      </w:r>
    </w:p>
    <w:p w14:paraId="5BF9CABC"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 xml:space="preserve">Ein Punkt sollte vor der Umsetzung allerdings sorgfältig geprüft werden: </w:t>
      </w:r>
      <w:r w:rsidRPr="00147B01">
        <w:rPr>
          <w:rFonts w:ascii="Times New Roman" w:eastAsia="Times New Roman" w:hAnsi="Times New Roman" w:cs="Times New Roman"/>
          <w:b/>
          <w:bCs/>
          <w:lang w:eastAsia="de-DE"/>
        </w:rPr>
        <w:t>Welche Klageart ist in dieser Konstellation die statthafte?</w:t>
      </w:r>
      <w:r w:rsidRPr="00147B01">
        <w:rPr>
          <w:rFonts w:ascii="Times New Roman" w:eastAsia="Times New Roman" w:hAnsi="Times New Roman" w:cs="Times New Roman"/>
          <w:lang w:eastAsia="de-DE"/>
        </w:rPr>
        <w:t xml:space="preserve"> Je nach genauer Ausgestaltung des bisherigen Datenantrags und seiner Ablehnung könnte eine allgemeine Leistungsklage, eine Verpflichtungsklage oder hilfsweise eine Feststellungsklage in Betracht kommen. Diese Weichenstellung ist entscheidend, weil sie über die Zulässigkeit der Klage mitentscheidet.</w:t>
      </w:r>
    </w:p>
    <w:p w14:paraId="18E368E3" w14:textId="77777777" w:rsid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 xml:space="preserve">Deshalb würde ich </w:t>
      </w:r>
      <w:r w:rsidRPr="00147B01">
        <w:rPr>
          <w:rFonts w:ascii="Times New Roman" w:eastAsia="Times New Roman" w:hAnsi="Times New Roman" w:cs="Times New Roman"/>
          <w:b/>
          <w:bCs/>
          <w:lang w:eastAsia="de-DE"/>
        </w:rPr>
        <w:t>nicht sofort 50 Klagen versenden</w:t>
      </w:r>
      <w:r w:rsidRPr="00147B01">
        <w:rPr>
          <w:rFonts w:ascii="Times New Roman" w:eastAsia="Times New Roman" w:hAnsi="Times New Roman" w:cs="Times New Roman"/>
          <w:lang w:eastAsia="de-DE"/>
        </w:rPr>
        <w:t>, sondern zunächst ein oder zwei Musterverfahren mit einer verwaltungsprozessrechtlich sehr sorgfältig ausgearbeiteten Klageschrift aufsetzen. Wenn diese Konstruktion trägt, lässt sie sich anschließend bundesweit vervielfältigen. Das erhöht die Wahrscheinlichkeit, dass die Gerichte sich mit der materiellen Frage befassen, statt die Verfahren bereits an prozessualen Hürden scheitern zu lassen.</w:t>
      </w:r>
    </w:p>
    <w:p w14:paraId="73A673D6" w14:textId="77777777" w:rsidR="00147B01" w:rsidRDefault="00147B01" w:rsidP="00147B01">
      <w:pPr>
        <w:spacing w:before="100" w:beforeAutospacing="1" w:after="100" w:afterAutospacing="1"/>
        <w:rPr>
          <w:rFonts w:ascii="Times New Roman" w:eastAsia="Times New Roman" w:hAnsi="Times New Roman" w:cs="Times New Roman"/>
          <w:lang w:eastAsia="de-DE"/>
        </w:rPr>
      </w:pPr>
    </w:p>
    <w:p w14:paraId="256073AF" w14:textId="77777777" w:rsidR="00147B01" w:rsidRDefault="00147B01" w:rsidP="00147B01">
      <w:pPr>
        <w:spacing w:before="100" w:beforeAutospacing="1" w:after="100" w:afterAutospacing="1"/>
        <w:rPr>
          <w:rFonts w:ascii="Times New Roman" w:eastAsia="Times New Roman" w:hAnsi="Times New Roman" w:cs="Times New Roman"/>
          <w:lang w:eastAsia="de-DE"/>
        </w:rPr>
      </w:pPr>
    </w:p>
    <w:p w14:paraId="3537CB21"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 xml:space="preserve">Ja — </w:t>
      </w:r>
      <w:r w:rsidRPr="00147B01">
        <w:rPr>
          <w:rFonts w:ascii="Times New Roman" w:eastAsia="Times New Roman" w:hAnsi="Times New Roman" w:cs="Times New Roman"/>
          <w:b/>
          <w:bCs/>
          <w:lang w:eastAsia="de-DE"/>
        </w:rPr>
        <w:t>das ist als Druckstrategie logisch</w:t>
      </w:r>
      <w:r w:rsidRPr="00147B01">
        <w:rPr>
          <w:rFonts w:ascii="Times New Roman" w:eastAsia="Times New Roman" w:hAnsi="Times New Roman" w:cs="Times New Roman"/>
          <w:lang w:eastAsia="de-DE"/>
        </w:rPr>
        <w:t xml:space="preserve">. Aber ich würde es nicht als „ein Drittel / ein Drittel / ein Drittel“ wild streuen, sondern als </w:t>
      </w:r>
      <w:r w:rsidRPr="00147B01">
        <w:rPr>
          <w:rFonts w:ascii="Times New Roman" w:eastAsia="Times New Roman" w:hAnsi="Times New Roman" w:cs="Times New Roman"/>
          <w:b/>
          <w:bCs/>
          <w:lang w:eastAsia="de-DE"/>
        </w:rPr>
        <w:t>kontrollierte Prozessoffensive mit zwei Hauptvarianten</w:t>
      </w:r>
      <w:r w:rsidRPr="00147B01">
        <w:rPr>
          <w:rFonts w:ascii="Times New Roman" w:eastAsia="Times New Roman" w:hAnsi="Times New Roman" w:cs="Times New Roman"/>
          <w:lang w:eastAsia="de-DE"/>
        </w:rPr>
        <w:t>.</w:t>
      </w:r>
    </w:p>
    <w:p w14:paraId="3878770C"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Der sauberste Aufbau wäre:</w:t>
      </w:r>
    </w:p>
    <w:p w14:paraId="007BDAD5" w14:textId="77777777" w:rsidR="00147B01" w:rsidRPr="00147B01" w:rsidRDefault="00147B01" w:rsidP="00147B01">
      <w:pPr>
        <w:spacing w:before="100" w:beforeAutospacing="1" w:after="100" w:afterAutospacing="1"/>
        <w:outlineLvl w:val="1"/>
        <w:rPr>
          <w:rFonts w:ascii="Times New Roman" w:eastAsia="Times New Roman" w:hAnsi="Times New Roman" w:cs="Times New Roman"/>
          <w:b/>
          <w:bCs/>
          <w:sz w:val="36"/>
          <w:szCs w:val="36"/>
          <w:lang w:eastAsia="de-DE"/>
        </w:rPr>
      </w:pPr>
      <w:r w:rsidRPr="00147B01">
        <w:rPr>
          <w:rFonts w:ascii="Times New Roman" w:eastAsia="Times New Roman" w:hAnsi="Times New Roman" w:cs="Times New Roman"/>
          <w:b/>
          <w:bCs/>
          <w:sz w:val="36"/>
          <w:szCs w:val="36"/>
          <w:lang w:eastAsia="de-DE"/>
        </w:rPr>
        <w:t>Variante A: allgemeine Leistungsklage</w:t>
      </w:r>
    </w:p>
    <w:p w14:paraId="2A86DE32"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Für Fälle, in denen die Rundfunkanstalt faktisch handeln soll, aber kein klassischer Verwaltungsakt begehrt wird.</w:t>
      </w:r>
    </w:p>
    <w:p w14:paraId="1306DC37"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b/>
          <w:bCs/>
          <w:lang w:eastAsia="de-DE"/>
        </w:rPr>
        <w:t>Antrag:</w:t>
      </w:r>
    </w:p>
    <w:p w14:paraId="093AE3DE"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 xml:space="preserve">Die Beklagte wird verurteilt, dem Kläger die zur wissenschaftlich belastbaren Programmrüge erforderlichen Programmdaten, Metadaten, Transkripte, Archivdaten und </w:t>
      </w:r>
      <w:proofErr w:type="spellStart"/>
      <w:r w:rsidRPr="00147B01">
        <w:rPr>
          <w:rFonts w:ascii="Times New Roman" w:eastAsia="Times New Roman" w:hAnsi="Times New Roman" w:cs="Times New Roman"/>
          <w:lang w:eastAsia="de-DE"/>
        </w:rPr>
        <w:t>Depublizierungsnachweise</w:t>
      </w:r>
      <w:proofErr w:type="spellEnd"/>
      <w:r w:rsidRPr="00147B01">
        <w:rPr>
          <w:rFonts w:ascii="Times New Roman" w:eastAsia="Times New Roman" w:hAnsi="Times New Roman" w:cs="Times New Roman"/>
          <w:lang w:eastAsia="de-DE"/>
        </w:rPr>
        <w:t xml:space="preserve"> zugänglich zu machen.</w:t>
      </w:r>
    </w:p>
    <w:p w14:paraId="3344681F"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b/>
          <w:bCs/>
          <w:lang w:eastAsia="de-DE"/>
        </w:rPr>
        <w:t>Hilfsweise Feststellung:</w:t>
      </w:r>
    </w:p>
    <w:p w14:paraId="625B2C63"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Es wird festgestellt, dass der Kläger ohne Zugang zu diesen Daten nicht in der Lage ist, den vom BVerwG geforderten substantiierten Vortrag zu führen.</w:t>
      </w:r>
    </w:p>
    <w:p w14:paraId="5EC2C038"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Das ist aus meiner Sicht die stärkere Variante.</w:t>
      </w:r>
    </w:p>
    <w:p w14:paraId="70551C4D" w14:textId="77777777" w:rsidR="00147B01" w:rsidRPr="00147B01" w:rsidRDefault="00147B01" w:rsidP="00147B01">
      <w:pPr>
        <w:spacing w:before="100" w:beforeAutospacing="1" w:after="100" w:afterAutospacing="1"/>
        <w:outlineLvl w:val="1"/>
        <w:rPr>
          <w:rFonts w:ascii="Times New Roman" w:eastAsia="Times New Roman" w:hAnsi="Times New Roman" w:cs="Times New Roman"/>
          <w:b/>
          <w:bCs/>
          <w:sz w:val="36"/>
          <w:szCs w:val="36"/>
          <w:lang w:eastAsia="de-DE"/>
        </w:rPr>
      </w:pPr>
      <w:r w:rsidRPr="00147B01">
        <w:rPr>
          <w:rFonts w:ascii="Times New Roman" w:eastAsia="Times New Roman" w:hAnsi="Times New Roman" w:cs="Times New Roman"/>
          <w:b/>
          <w:bCs/>
          <w:sz w:val="36"/>
          <w:szCs w:val="36"/>
          <w:lang w:eastAsia="de-DE"/>
        </w:rPr>
        <w:t>Variante B: Verpflichtungsklage</w:t>
      </w:r>
    </w:p>
    <w:p w14:paraId="0C2BAEC3"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 xml:space="preserve">Nur dort, wo ihr vorher einen </w:t>
      </w:r>
      <w:r w:rsidRPr="00147B01">
        <w:rPr>
          <w:rFonts w:ascii="Times New Roman" w:eastAsia="Times New Roman" w:hAnsi="Times New Roman" w:cs="Times New Roman"/>
          <w:b/>
          <w:bCs/>
          <w:lang w:eastAsia="de-DE"/>
        </w:rPr>
        <w:t>förmlichen Antrag</w:t>
      </w:r>
      <w:r w:rsidRPr="00147B01">
        <w:rPr>
          <w:rFonts w:ascii="Times New Roman" w:eastAsia="Times New Roman" w:hAnsi="Times New Roman" w:cs="Times New Roman"/>
          <w:lang w:eastAsia="de-DE"/>
        </w:rPr>
        <w:t xml:space="preserve"> gestellt habt und die Rundfunkanstalt diesen durch Bescheid oder </w:t>
      </w:r>
      <w:proofErr w:type="spellStart"/>
      <w:r w:rsidRPr="00147B01">
        <w:rPr>
          <w:rFonts w:ascii="Times New Roman" w:eastAsia="Times New Roman" w:hAnsi="Times New Roman" w:cs="Times New Roman"/>
          <w:lang w:eastAsia="de-DE"/>
        </w:rPr>
        <w:t>bescheidähnliche</w:t>
      </w:r>
      <w:proofErr w:type="spellEnd"/>
      <w:r w:rsidRPr="00147B01">
        <w:rPr>
          <w:rFonts w:ascii="Times New Roman" w:eastAsia="Times New Roman" w:hAnsi="Times New Roman" w:cs="Times New Roman"/>
          <w:lang w:eastAsia="de-DE"/>
        </w:rPr>
        <w:t xml:space="preserve"> Ablehnung zurückgewiesen hat.</w:t>
      </w:r>
    </w:p>
    <w:p w14:paraId="02DC1AD4"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lastRenderedPageBreak/>
        <w:t>Die Verpflichtungsklage passt, wenn man den Erlass eines abgelehnten oder unterlassenen Verwaltungsakts begehrt; das steht in § 42 Abs. 1 VwGO. § 113 Abs. 5 VwGO regelt dann, dass das Gericht bei rechtswidriger Ablehnung die Behörde zur beantragten Amtshandlung verpflichten kann. (</w:t>
      </w:r>
      <w:proofErr w:type="spellStart"/>
      <w:r w:rsidRPr="00147B01">
        <w:rPr>
          <w:rFonts w:ascii="Times New Roman" w:eastAsia="Times New Roman" w:hAnsi="Times New Roman" w:cs="Times New Roman"/>
          <w:lang w:eastAsia="de-DE"/>
        </w:rPr>
        <w:fldChar w:fldCharType="begin"/>
      </w:r>
      <w:r w:rsidRPr="00147B01">
        <w:rPr>
          <w:rFonts w:ascii="Times New Roman" w:eastAsia="Times New Roman" w:hAnsi="Times New Roman" w:cs="Times New Roman"/>
          <w:lang w:eastAsia="de-DE"/>
        </w:rPr>
        <w:instrText>HYPERLINK "https://dejure.org/gesetze/VwGO/42.html?utm_source=chatgpt.com" \o "§ 42 VwGO - [Anfechtungs- und Verpflichtungsklage, Klagebefugnis ..."</w:instrText>
      </w:r>
      <w:r w:rsidRPr="00147B01">
        <w:rPr>
          <w:rFonts w:ascii="Times New Roman" w:eastAsia="Times New Roman" w:hAnsi="Times New Roman" w:cs="Times New Roman"/>
          <w:lang w:eastAsia="de-DE"/>
        </w:rPr>
      </w:r>
      <w:r w:rsidRPr="00147B01">
        <w:rPr>
          <w:rFonts w:ascii="Times New Roman" w:eastAsia="Times New Roman" w:hAnsi="Times New Roman" w:cs="Times New Roman"/>
          <w:lang w:eastAsia="de-DE"/>
        </w:rPr>
        <w:fldChar w:fldCharType="separate"/>
      </w:r>
      <w:r w:rsidRPr="00147B01">
        <w:rPr>
          <w:rFonts w:ascii="Times New Roman" w:eastAsia="Times New Roman" w:hAnsi="Times New Roman" w:cs="Times New Roman"/>
          <w:color w:val="0000FF"/>
          <w:u w:val="single"/>
          <w:lang w:eastAsia="de-DE"/>
        </w:rPr>
        <w:t>Dejure</w:t>
      </w:r>
      <w:proofErr w:type="spellEnd"/>
      <w:r w:rsidRPr="00147B01">
        <w:rPr>
          <w:rFonts w:ascii="Times New Roman" w:eastAsia="Times New Roman" w:hAnsi="Times New Roman" w:cs="Times New Roman"/>
          <w:lang w:eastAsia="de-DE"/>
        </w:rPr>
        <w:fldChar w:fldCharType="end"/>
      </w:r>
      <w:r w:rsidRPr="00147B01">
        <w:rPr>
          <w:rFonts w:ascii="Times New Roman" w:eastAsia="Times New Roman" w:hAnsi="Times New Roman" w:cs="Times New Roman"/>
          <w:lang w:eastAsia="de-DE"/>
        </w:rPr>
        <w:t>)</w:t>
      </w:r>
    </w:p>
    <w:p w14:paraId="50FDDC08"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b/>
          <w:bCs/>
          <w:lang w:eastAsia="de-DE"/>
        </w:rPr>
        <w:t>Hauptantrag:</w:t>
      </w:r>
    </w:p>
    <w:p w14:paraId="35EEEE69"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Die Beklagte wird unter Aufhebung des Ablehnungsschreibens vom … verpflichtet, über den Antrag des Klägers vom … unter Beachtung der Rechtsauffassung des Gerichts neu zu entscheiden / die beantragten Daten zugänglich zu machen.</w:t>
      </w:r>
    </w:p>
    <w:p w14:paraId="2A3CF1E9"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b/>
          <w:bCs/>
          <w:lang w:eastAsia="de-DE"/>
        </w:rPr>
        <w:t>Hilfsweise Feststellung:</w:t>
      </w:r>
      <w:r w:rsidRPr="00147B01">
        <w:rPr>
          <w:rFonts w:ascii="Times New Roman" w:eastAsia="Times New Roman" w:hAnsi="Times New Roman" w:cs="Times New Roman"/>
          <w:lang w:eastAsia="de-DE"/>
        </w:rPr>
        <w:t xml:space="preserve"> wie oben.</w:t>
      </w:r>
    </w:p>
    <w:p w14:paraId="7F194138" w14:textId="77777777" w:rsidR="00147B01" w:rsidRPr="00147B01" w:rsidRDefault="00147B01" w:rsidP="00147B01">
      <w:pPr>
        <w:spacing w:before="100" w:beforeAutospacing="1" w:after="100" w:afterAutospacing="1"/>
        <w:outlineLvl w:val="1"/>
        <w:rPr>
          <w:rFonts w:ascii="Times New Roman" w:eastAsia="Times New Roman" w:hAnsi="Times New Roman" w:cs="Times New Roman"/>
          <w:b/>
          <w:bCs/>
          <w:sz w:val="36"/>
          <w:szCs w:val="36"/>
          <w:lang w:eastAsia="de-DE"/>
        </w:rPr>
      </w:pPr>
      <w:r w:rsidRPr="00147B01">
        <w:rPr>
          <w:rFonts w:ascii="Times New Roman" w:eastAsia="Times New Roman" w:hAnsi="Times New Roman" w:cs="Times New Roman"/>
          <w:b/>
          <w:bCs/>
          <w:sz w:val="36"/>
          <w:szCs w:val="36"/>
          <w:lang w:eastAsia="de-DE"/>
        </w:rPr>
        <w:t>Variante C: reine Feststellungsklage</w:t>
      </w:r>
    </w:p>
    <w:p w14:paraId="06E80FC9"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 xml:space="preserve">Die würde ich </w:t>
      </w:r>
      <w:r w:rsidRPr="00147B01">
        <w:rPr>
          <w:rFonts w:ascii="Times New Roman" w:eastAsia="Times New Roman" w:hAnsi="Times New Roman" w:cs="Times New Roman"/>
          <w:b/>
          <w:bCs/>
          <w:lang w:eastAsia="de-DE"/>
        </w:rPr>
        <w:t>nicht als Hauptmasse</w:t>
      </w:r>
      <w:r w:rsidRPr="00147B01">
        <w:rPr>
          <w:rFonts w:ascii="Times New Roman" w:eastAsia="Times New Roman" w:hAnsi="Times New Roman" w:cs="Times New Roman"/>
          <w:lang w:eastAsia="de-DE"/>
        </w:rPr>
        <w:t xml:space="preserve"> nehmen, sondern nur für besonders passende Fälle. Denn § 43 Abs. 2 VwGO enthält die Subsidiarität: Feststellung geht nicht, soweit Rechte durch Gestaltungs- oder Leistungsklage verfolgt werden können. (</w:t>
      </w:r>
      <w:hyperlink r:id="rId5" w:tooltip="§ 43 VwGO - Einzelnorm - Gesetze im Internet" w:history="1">
        <w:r w:rsidRPr="00147B01">
          <w:rPr>
            <w:rFonts w:ascii="Times New Roman" w:eastAsia="Times New Roman" w:hAnsi="Times New Roman" w:cs="Times New Roman"/>
            <w:color w:val="0000FF"/>
            <w:u w:val="single"/>
            <w:lang w:eastAsia="de-DE"/>
          </w:rPr>
          <w:t>Gesetze im Internet</w:t>
        </w:r>
      </w:hyperlink>
      <w:r w:rsidRPr="00147B01">
        <w:rPr>
          <w:rFonts w:ascii="Times New Roman" w:eastAsia="Times New Roman" w:hAnsi="Times New Roman" w:cs="Times New Roman"/>
          <w:lang w:eastAsia="de-DE"/>
        </w:rPr>
        <w:t>)</w:t>
      </w:r>
    </w:p>
    <w:p w14:paraId="0FB2510A"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 xml:space="preserve">Deshalb: Feststellungsklage </w:t>
      </w:r>
      <w:r w:rsidRPr="00147B01">
        <w:rPr>
          <w:rFonts w:ascii="Times New Roman" w:eastAsia="Times New Roman" w:hAnsi="Times New Roman" w:cs="Times New Roman"/>
          <w:b/>
          <w:bCs/>
          <w:lang w:eastAsia="de-DE"/>
        </w:rPr>
        <w:t>immer hilfsweise</w:t>
      </w:r>
      <w:r w:rsidRPr="00147B01">
        <w:rPr>
          <w:rFonts w:ascii="Times New Roman" w:eastAsia="Times New Roman" w:hAnsi="Times New Roman" w:cs="Times New Roman"/>
          <w:lang w:eastAsia="de-DE"/>
        </w:rPr>
        <w:t>, aber selten allein.</w:t>
      </w:r>
    </w:p>
    <w:p w14:paraId="46DB96E4" w14:textId="77777777" w:rsidR="00147B01" w:rsidRPr="00147B01" w:rsidRDefault="00147B01" w:rsidP="00147B01">
      <w:pPr>
        <w:spacing w:before="100" w:beforeAutospacing="1" w:after="100" w:afterAutospacing="1"/>
        <w:outlineLvl w:val="1"/>
        <w:rPr>
          <w:rFonts w:ascii="Times New Roman" w:eastAsia="Times New Roman" w:hAnsi="Times New Roman" w:cs="Times New Roman"/>
          <w:b/>
          <w:bCs/>
          <w:sz w:val="36"/>
          <w:szCs w:val="36"/>
          <w:lang w:eastAsia="de-DE"/>
        </w:rPr>
      </w:pPr>
      <w:r w:rsidRPr="00147B01">
        <w:rPr>
          <w:rFonts w:ascii="Times New Roman" w:eastAsia="Times New Roman" w:hAnsi="Times New Roman" w:cs="Times New Roman"/>
          <w:b/>
          <w:bCs/>
          <w:sz w:val="36"/>
          <w:szCs w:val="36"/>
          <w:lang w:eastAsia="de-DE"/>
        </w:rPr>
        <w:t>Mein konkreter Schlachtplan</w:t>
      </w:r>
    </w:p>
    <w:p w14:paraId="713893C0"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Ich würde 50 Verfahren so verteilen:</w:t>
      </w:r>
    </w:p>
    <w:p w14:paraId="22890E4F"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b/>
          <w:bCs/>
          <w:lang w:eastAsia="de-DE"/>
        </w:rPr>
        <w:t>30 Leistungsklagen</w:t>
      </w:r>
      <w:r w:rsidRPr="00147B01">
        <w:rPr>
          <w:rFonts w:ascii="Times New Roman" w:eastAsia="Times New Roman" w:hAnsi="Times New Roman" w:cs="Times New Roman"/>
          <w:lang w:eastAsia="de-DE"/>
        </w:rPr>
        <w:br/>
      </w:r>
      <w:r w:rsidRPr="00147B01">
        <w:rPr>
          <w:rFonts w:ascii="Times New Roman" w:eastAsia="Times New Roman" w:hAnsi="Times New Roman" w:cs="Times New Roman"/>
          <w:b/>
          <w:bCs/>
          <w:lang w:eastAsia="de-DE"/>
        </w:rPr>
        <w:t>20 Verpflichtungsklagen</w:t>
      </w:r>
      <w:r w:rsidRPr="00147B01">
        <w:rPr>
          <w:rFonts w:ascii="Times New Roman" w:eastAsia="Times New Roman" w:hAnsi="Times New Roman" w:cs="Times New Roman"/>
          <w:lang w:eastAsia="de-DE"/>
        </w:rPr>
        <w:br/>
      </w:r>
      <w:r w:rsidRPr="00147B01">
        <w:rPr>
          <w:rFonts w:ascii="Times New Roman" w:eastAsia="Times New Roman" w:hAnsi="Times New Roman" w:cs="Times New Roman"/>
          <w:b/>
          <w:bCs/>
          <w:lang w:eastAsia="de-DE"/>
        </w:rPr>
        <w:t>in allen 50 Verfahren hilfsweise Feststellungsanträge</w:t>
      </w:r>
    </w:p>
    <w:p w14:paraId="7EF6B334"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Das ist juristisch robuster als drei gleich große Blöcke.</w:t>
      </w:r>
    </w:p>
    <w:p w14:paraId="5945CF2B"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Warum? Weil ihr damit den Gerichten nicht erlaubt, alles mit „falsche Klageart“ wegzuwischen. Wenn das Gericht sagt „keine Leistungsklage“, landet es beim Hilfsantrag. Wenn es sagt „eigentlich Verpflichtungsklage“, habt ihr die zweite Schiene.</w:t>
      </w:r>
    </w:p>
    <w:p w14:paraId="6629996F" w14:textId="77777777" w:rsidR="00147B01" w:rsidRPr="00147B01" w:rsidRDefault="00147B01" w:rsidP="00147B01">
      <w:pPr>
        <w:spacing w:before="100" w:beforeAutospacing="1" w:after="100" w:afterAutospacing="1"/>
        <w:outlineLvl w:val="1"/>
        <w:rPr>
          <w:rFonts w:ascii="Times New Roman" w:eastAsia="Times New Roman" w:hAnsi="Times New Roman" w:cs="Times New Roman"/>
          <w:b/>
          <w:bCs/>
          <w:sz w:val="36"/>
          <w:szCs w:val="36"/>
          <w:lang w:eastAsia="de-DE"/>
        </w:rPr>
      </w:pPr>
      <w:r w:rsidRPr="00147B01">
        <w:rPr>
          <w:rFonts w:ascii="Times New Roman" w:eastAsia="Times New Roman" w:hAnsi="Times New Roman" w:cs="Times New Roman"/>
          <w:b/>
          <w:bCs/>
          <w:sz w:val="36"/>
          <w:szCs w:val="36"/>
          <w:lang w:eastAsia="de-DE"/>
        </w:rPr>
        <w:t>Kosten grob</w:t>
      </w:r>
    </w:p>
    <w:p w14:paraId="64F017FB"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 xml:space="preserve">Bei einem Streitwert von </w:t>
      </w:r>
      <w:r w:rsidRPr="00147B01">
        <w:rPr>
          <w:rFonts w:ascii="Times New Roman" w:eastAsia="Times New Roman" w:hAnsi="Times New Roman" w:cs="Times New Roman"/>
          <w:b/>
          <w:bCs/>
          <w:lang w:eastAsia="de-DE"/>
        </w:rPr>
        <w:t>5.000 €</w:t>
      </w:r>
      <w:r w:rsidRPr="00147B01">
        <w:rPr>
          <w:rFonts w:ascii="Times New Roman" w:eastAsia="Times New Roman" w:hAnsi="Times New Roman" w:cs="Times New Roman"/>
          <w:lang w:eastAsia="de-DE"/>
        </w:rPr>
        <w:t xml:space="preserve"> liegt die einfache Gerichtsgebühr aktuell bei </w:t>
      </w:r>
      <w:r w:rsidRPr="00147B01">
        <w:rPr>
          <w:rFonts w:ascii="Times New Roman" w:eastAsia="Times New Roman" w:hAnsi="Times New Roman" w:cs="Times New Roman"/>
          <w:b/>
          <w:bCs/>
          <w:lang w:eastAsia="de-DE"/>
        </w:rPr>
        <w:t>170,50 €</w:t>
      </w:r>
      <w:r w:rsidRPr="00147B01">
        <w:rPr>
          <w:rFonts w:ascii="Times New Roman" w:eastAsia="Times New Roman" w:hAnsi="Times New Roman" w:cs="Times New Roman"/>
          <w:lang w:eastAsia="de-DE"/>
        </w:rPr>
        <w:t xml:space="preserve">; im verwaltungsgerichtlichen ersten Rechtszug fallen regelmäßig mehrere Gebühren an. Praktisch sollte man je Verfahren eher mit </w:t>
      </w:r>
      <w:r w:rsidRPr="00147B01">
        <w:rPr>
          <w:rFonts w:ascii="Times New Roman" w:eastAsia="Times New Roman" w:hAnsi="Times New Roman" w:cs="Times New Roman"/>
          <w:b/>
          <w:bCs/>
          <w:lang w:eastAsia="de-DE"/>
        </w:rPr>
        <w:t>ca. 511,50 € Gerichtskosten</w:t>
      </w:r>
      <w:r w:rsidRPr="00147B01">
        <w:rPr>
          <w:rFonts w:ascii="Times New Roman" w:eastAsia="Times New Roman" w:hAnsi="Times New Roman" w:cs="Times New Roman"/>
          <w:lang w:eastAsia="de-DE"/>
        </w:rPr>
        <w:t xml:space="preserve"> kalkulieren, wenn es nicht vorher erledigt wird. (</w:t>
      </w:r>
      <w:hyperlink r:id="rId6" w:tooltip="Anlage 2 GKG - Einzelnorm - Gesetze im Internet" w:history="1">
        <w:r w:rsidRPr="00147B01">
          <w:rPr>
            <w:rFonts w:ascii="Times New Roman" w:eastAsia="Times New Roman" w:hAnsi="Times New Roman" w:cs="Times New Roman"/>
            <w:color w:val="0000FF"/>
            <w:u w:val="single"/>
            <w:lang w:eastAsia="de-DE"/>
          </w:rPr>
          <w:t>Gesetze im Internet</w:t>
        </w:r>
      </w:hyperlink>
      <w:r w:rsidRPr="00147B01">
        <w:rPr>
          <w:rFonts w:ascii="Times New Roman" w:eastAsia="Times New Roman" w:hAnsi="Times New Roman" w:cs="Times New Roman"/>
          <w:lang w:eastAsia="de-DE"/>
        </w:rPr>
        <w:t>)</w:t>
      </w:r>
    </w:p>
    <w:p w14:paraId="69D4DE29"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Für 50 Verfahren also grob:</w:t>
      </w:r>
    </w:p>
    <w:p w14:paraId="265BACE7"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b/>
          <w:bCs/>
          <w:lang w:eastAsia="de-DE"/>
        </w:rPr>
        <w:t>ca. 25.575 € Gerichtskosten</w:t>
      </w:r>
    </w:p>
    <w:p w14:paraId="2604E3E0"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t>Deine Schätzung mit 25.000 € ist also ziemlich genau auf der Schneide.</w:t>
      </w:r>
    </w:p>
    <w:p w14:paraId="24A6C691"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r w:rsidRPr="00147B01">
        <w:rPr>
          <w:rFonts w:ascii="Times New Roman" w:eastAsia="Times New Roman" w:hAnsi="Times New Roman" w:cs="Times New Roman"/>
          <w:lang w:eastAsia="de-DE"/>
        </w:rPr>
        <w:lastRenderedPageBreak/>
        <w:t xml:space="preserve">Mein Fazit: </w:t>
      </w:r>
      <w:r w:rsidRPr="00147B01">
        <w:rPr>
          <w:rFonts w:ascii="Times New Roman" w:eastAsia="Times New Roman" w:hAnsi="Times New Roman" w:cs="Times New Roman"/>
          <w:b/>
          <w:bCs/>
          <w:lang w:eastAsia="de-DE"/>
        </w:rPr>
        <w:t>Ja, Big Bang ist möglich.</w:t>
      </w:r>
      <w:r w:rsidRPr="00147B01">
        <w:rPr>
          <w:rFonts w:ascii="Times New Roman" w:eastAsia="Times New Roman" w:hAnsi="Times New Roman" w:cs="Times New Roman"/>
          <w:lang w:eastAsia="de-DE"/>
        </w:rPr>
        <w:t xml:space="preserve"> Aber bitte nicht als juristisches Feuerwerk, sondern als sauber getaktete Salve: 50 Gerichte, zwei Klagearten, identische Kernfrage, hilfsweise Feststellung, zentrales Monitoring.</w:t>
      </w:r>
    </w:p>
    <w:p w14:paraId="1E54D69B" w14:textId="77777777" w:rsidR="00147B01" w:rsidRPr="00147B01" w:rsidRDefault="00147B01" w:rsidP="00147B01">
      <w:pPr>
        <w:spacing w:before="100" w:beforeAutospacing="1" w:after="100" w:afterAutospacing="1"/>
        <w:rPr>
          <w:rFonts w:ascii="Times New Roman" w:eastAsia="Times New Roman" w:hAnsi="Times New Roman" w:cs="Times New Roman"/>
          <w:lang w:eastAsia="de-DE"/>
        </w:rPr>
      </w:pPr>
    </w:p>
    <w:p w14:paraId="4ABFA08A" w14:textId="77777777" w:rsidR="00C9691E" w:rsidRDefault="00C9691E"/>
    <w:sectPr w:rsidR="00C9691E" w:rsidSect="000A4B2E">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369B0"/>
    <w:multiLevelType w:val="multilevel"/>
    <w:tmpl w:val="85A0D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312849"/>
    <w:multiLevelType w:val="multilevel"/>
    <w:tmpl w:val="69626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A86108"/>
    <w:multiLevelType w:val="multilevel"/>
    <w:tmpl w:val="5FE41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6D25BA"/>
    <w:multiLevelType w:val="multilevel"/>
    <w:tmpl w:val="05D04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744321F"/>
    <w:multiLevelType w:val="multilevel"/>
    <w:tmpl w:val="22EC0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6E7BFF"/>
    <w:multiLevelType w:val="multilevel"/>
    <w:tmpl w:val="7D9C6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7391452">
    <w:abstractNumId w:val="3"/>
  </w:num>
  <w:num w:numId="2" w16cid:durableId="1258447743">
    <w:abstractNumId w:val="5"/>
  </w:num>
  <w:num w:numId="3" w16cid:durableId="1436287397">
    <w:abstractNumId w:val="4"/>
  </w:num>
  <w:num w:numId="4" w16cid:durableId="1667980110">
    <w:abstractNumId w:val="1"/>
  </w:num>
  <w:num w:numId="5" w16cid:durableId="520708687">
    <w:abstractNumId w:val="0"/>
  </w:num>
  <w:num w:numId="6" w16cid:durableId="20961983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B01"/>
    <w:rsid w:val="000A4B2E"/>
    <w:rsid w:val="000C3A93"/>
    <w:rsid w:val="00147B01"/>
    <w:rsid w:val="00384872"/>
    <w:rsid w:val="004B6A18"/>
    <w:rsid w:val="00736E74"/>
    <w:rsid w:val="00C9691E"/>
    <w:rsid w:val="00F712E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15DB06A3"/>
  <w15:chartTrackingRefBased/>
  <w15:docId w15:val="{EC546CEA-0CFC-9244-897E-776758627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47B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147B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147B0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47B0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47B0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47B01"/>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47B01"/>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47B01"/>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47B01"/>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47B0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147B0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147B0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47B0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47B0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47B0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47B0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47B0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47B01"/>
    <w:rPr>
      <w:rFonts w:eastAsiaTheme="majorEastAsia" w:cstheme="majorBidi"/>
      <w:color w:val="272727" w:themeColor="text1" w:themeTint="D8"/>
    </w:rPr>
  </w:style>
  <w:style w:type="paragraph" w:styleId="Titel">
    <w:name w:val="Title"/>
    <w:basedOn w:val="Standard"/>
    <w:next w:val="Standard"/>
    <w:link w:val="TitelZchn"/>
    <w:uiPriority w:val="10"/>
    <w:qFormat/>
    <w:rsid w:val="00147B01"/>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47B0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47B01"/>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47B0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47B0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147B01"/>
    <w:rPr>
      <w:i/>
      <w:iCs/>
      <w:color w:val="404040" w:themeColor="text1" w:themeTint="BF"/>
    </w:rPr>
  </w:style>
  <w:style w:type="paragraph" w:styleId="Listenabsatz">
    <w:name w:val="List Paragraph"/>
    <w:basedOn w:val="Standard"/>
    <w:uiPriority w:val="34"/>
    <w:qFormat/>
    <w:rsid w:val="00147B01"/>
    <w:pPr>
      <w:ind w:left="720"/>
      <w:contextualSpacing/>
    </w:pPr>
  </w:style>
  <w:style w:type="character" w:styleId="IntensiveHervorhebung">
    <w:name w:val="Intense Emphasis"/>
    <w:basedOn w:val="Absatz-Standardschriftart"/>
    <w:uiPriority w:val="21"/>
    <w:qFormat/>
    <w:rsid w:val="00147B01"/>
    <w:rPr>
      <w:i/>
      <w:iCs/>
      <w:color w:val="0F4761" w:themeColor="accent1" w:themeShade="BF"/>
    </w:rPr>
  </w:style>
  <w:style w:type="paragraph" w:styleId="IntensivesZitat">
    <w:name w:val="Intense Quote"/>
    <w:basedOn w:val="Standard"/>
    <w:next w:val="Standard"/>
    <w:link w:val="IntensivesZitatZchn"/>
    <w:uiPriority w:val="30"/>
    <w:qFormat/>
    <w:rsid w:val="00147B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47B01"/>
    <w:rPr>
      <w:i/>
      <w:iCs/>
      <w:color w:val="0F4761" w:themeColor="accent1" w:themeShade="BF"/>
    </w:rPr>
  </w:style>
  <w:style w:type="character" w:styleId="IntensiverVerweis">
    <w:name w:val="Intense Reference"/>
    <w:basedOn w:val="Absatz-Standardschriftart"/>
    <w:uiPriority w:val="32"/>
    <w:qFormat/>
    <w:rsid w:val="00147B01"/>
    <w:rPr>
      <w:b/>
      <w:bCs/>
      <w:smallCaps/>
      <w:color w:val="0F4761" w:themeColor="accent1" w:themeShade="BF"/>
      <w:spacing w:val="5"/>
    </w:rPr>
  </w:style>
  <w:style w:type="paragraph" w:styleId="StandardWeb">
    <w:name w:val="Normal (Web)"/>
    <w:basedOn w:val="Standard"/>
    <w:uiPriority w:val="99"/>
    <w:semiHidden/>
    <w:unhideWhenUsed/>
    <w:rsid w:val="00147B01"/>
    <w:pPr>
      <w:spacing w:before="100" w:beforeAutospacing="1" w:after="100" w:afterAutospacing="1"/>
    </w:pPr>
    <w:rPr>
      <w:rFonts w:ascii="Times New Roman" w:eastAsia="Times New Roman" w:hAnsi="Times New Roman" w:cs="Times New Roman"/>
      <w:lang w:eastAsia="de-DE"/>
    </w:rPr>
  </w:style>
  <w:style w:type="character" w:styleId="Fett">
    <w:name w:val="Strong"/>
    <w:basedOn w:val="Absatz-Standardschriftart"/>
    <w:uiPriority w:val="22"/>
    <w:qFormat/>
    <w:rsid w:val="00147B01"/>
    <w:rPr>
      <w:b/>
      <w:bCs/>
    </w:rPr>
  </w:style>
  <w:style w:type="character" w:styleId="Hyperlink">
    <w:name w:val="Hyperlink"/>
    <w:basedOn w:val="Absatz-Standardschriftart"/>
    <w:uiPriority w:val="99"/>
    <w:semiHidden/>
    <w:unhideWhenUsed/>
    <w:rsid w:val="00147B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esetze-im-internet.de/gkg_2004/anlage_2.html?utm_source=chatgpt.com" TargetMode="External"/><Relationship Id="rId5" Type="http://schemas.openxmlformats.org/officeDocument/2006/relationships/hyperlink" Target="https://www.gesetze-im-internet.de/vwgo/__43.html?utm_source=chatgp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1365</Words>
  <Characters>8600</Characters>
  <Application>Microsoft Office Word</Application>
  <DocSecurity>0</DocSecurity>
  <Lines>71</Lines>
  <Paragraphs>19</Paragraphs>
  <ScaleCrop>false</ScaleCrop>
  <Company/>
  <LinksUpToDate>false</LinksUpToDate>
  <CharactersWithSpaces>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Bönig</dc:creator>
  <cp:keywords/>
  <dc:description/>
  <cp:lastModifiedBy>Markus Bönig</cp:lastModifiedBy>
  <cp:revision>1</cp:revision>
  <dcterms:created xsi:type="dcterms:W3CDTF">2026-07-07T20:58:00Z</dcterms:created>
  <dcterms:modified xsi:type="dcterms:W3CDTF">2026-07-07T21:04:00Z</dcterms:modified>
</cp:coreProperties>
</file>