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99C16B" w14:textId="77777777" w:rsidR="00657317" w:rsidRDefault="00657317" w:rsidP="00657317">
      <w:pPr>
        <w:pStyle w:val="StandardWeb"/>
      </w:pPr>
      <w:r>
        <w:t xml:space="preserve">Ja. Nach der erwartbaren Ablehnung braucht ihr </w:t>
      </w:r>
      <w:r>
        <w:rPr>
          <w:rStyle w:val="Fett"/>
        </w:rPr>
        <w:t>keine bloße Feststellungsklage</w:t>
      </w:r>
      <w:r>
        <w:t xml:space="preserve">, sondern eine sauber gestufte </w:t>
      </w:r>
      <w:r>
        <w:rPr>
          <w:rStyle w:val="Fett"/>
        </w:rPr>
        <w:t>allgemeine Leistungsklage</w:t>
      </w:r>
      <w:r>
        <w:t>, hilfsweise verbunden mit Feststellungsanträgen.</w:t>
      </w:r>
    </w:p>
    <w:p w14:paraId="149DFDFD" w14:textId="77777777" w:rsidR="00657317" w:rsidRDefault="00657317" w:rsidP="00657317">
      <w:pPr>
        <w:pStyle w:val="StandardWeb"/>
      </w:pPr>
      <w:r>
        <w:t>Der entscheidende Punkt ist: Eure bisherigen Anträge verlangen bereits konkrete Bestandsauskünfte, wissenschaftlichen Zugang, Pilotzugang, Sicherung und eine differenzierte Entscheidung. Damit ist die spätere Klage nicht mehr abstrakt. Sie knüpft an ein konkretes, abgelehntes Zugangsbegehren an.</w:t>
      </w:r>
    </w:p>
    <w:p w14:paraId="0C259DC4" w14:textId="77777777" w:rsidR="00657317" w:rsidRDefault="00657317" w:rsidP="00657317">
      <w:pPr>
        <w:pStyle w:val="berschrift2"/>
        <w:rPr>
          <w:rFonts w:eastAsia="Times New Roman"/>
        </w:rPr>
      </w:pPr>
      <w:r>
        <w:rPr>
          <w:rFonts w:eastAsia="Times New Roman"/>
        </w:rPr>
        <w:t>Die Klage würde in drei Ebenen aufgebaut</w:t>
      </w:r>
    </w:p>
    <w:p w14:paraId="1A222D4A" w14:textId="77777777" w:rsidR="00657317" w:rsidRDefault="00657317" w:rsidP="00657317">
      <w:pPr>
        <w:pStyle w:val="berschrift3"/>
        <w:rPr>
          <w:rFonts w:eastAsia="Times New Roman"/>
        </w:rPr>
      </w:pPr>
      <w:r>
        <w:rPr>
          <w:rFonts w:eastAsia="Times New Roman"/>
        </w:rPr>
        <w:t>1. Hauptantrag: Zugang beziehungsweise ermessensfehlerfreie Entscheidung</w:t>
      </w:r>
    </w:p>
    <w:p w14:paraId="2C30357E" w14:textId="77777777" w:rsidR="00657317" w:rsidRDefault="00657317" w:rsidP="00657317">
      <w:pPr>
        <w:pStyle w:val="StandardWeb"/>
      </w:pPr>
      <w:r>
        <w:t>Der stärkste Hauptantrag lautet nicht sofort:</w:t>
      </w:r>
    </w:p>
    <w:p w14:paraId="5080F2CC" w14:textId="77777777" w:rsidR="00657317" w:rsidRDefault="00657317" w:rsidP="00657317">
      <w:pPr>
        <w:pStyle w:val="StandardWeb"/>
      </w:pPr>
      <w:r>
        <w:t>„Die Beklagte muss alle Daten herausgeben.“</w:t>
      </w:r>
    </w:p>
    <w:p w14:paraId="7DEF55A5" w14:textId="77777777" w:rsidR="00657317" w:rsidRDefault="00657317" w:rsidP="00657317">
      <w:pPr>
        <w:pStyle w:val="StandardWeb"/>
      </w:pPr>
      <w:r>
        <w:t>Das wäre möglicherweise zu weit und könnte an Urheberrecht, Rundfunkfreiheit, Kapazitäten oder fehlender Spruchreife scheitern.</w:t>
      </w:r>
    </w:p>
    <w:p w14:paraId="61B59D77" w14:textId="77777777" w:rsidR="00657317" w:rsidRDefault="00657317" w:rsidP="00657317">
      <w:pPr>
        <w:pStyle w:val="StandardWeb"/>
      </w:pPr>
      <w:r>
        <w:t>Robuster wäre:</w:t>
      </w:r>
    </w:p>
    <w:p w14:paraId="0F66C81C" w14:textId="77777777" w:rsidR="00657317" w:rsidRDefault="00657317" w:rsidP="00657317">
      <w:pPr>
        <w:pStyle w:val="StandardWeb"/>
      </w:pPr>
      <w:r>
        <w:rPr>
          <w:rStyle w:val="Fett"/>
        </w:rPr>
        <w:t>Die Beklagte wird verpflichtet, über den Antrag des Klägers auf wissenschaftlichen Archiv- und Forschungszugang unter Beachtung der Rechtsauffassung des Gerichts erneut zu entscheiden und dabei die beantragten abgestuften Zugangsmöglichkeiten – Bestandsauskunft, Präsenzzugang, Pilotzugang, geschützter Datenraum und Bereitstellung vorhandener Transkripte und Metadaten – jeweils gesondert zu prüfen.</w:t>
      </w:r>
    </w:p>
    <w:p w14:paraId="75178088" w14:textId="77777777" w:rsidR="00657317" w:rsidRDefault="00657317" w:rsidP="00657317">
      <w:pPr>
        <w:pStyle w:val="StandardWeb"/>
      </w:pPr>
      <w:r>
        <w:t>Damit zwingt ihr das Gericht zunächst zur Klärung, ob die Rundfunkanstalt überhaupt pauschal ablehnen darf.</w:t>
      </w:r>
    </w:p>
    <w:p w14:paraId="21AAE19C" w14:textId="77777777" w:rsidR="00657317" w:rsidRDefault="00657317" w:rsidP="00657317">
      <w:pPr>
        <w:pStyle w:val="StandardWeb"/>
      </w:pPr>
      <w:r>
        <w:t>Falls die Archivordnung oder das einschlägige Landesrecht bereits einen hinreichend konkreten Anspruch vermittelt, kann zusätzlich unmittelbar auf Zugang geklagt werden.</w:t>
      </w:r>
    </w:p>
    <w:p w14:paraId="339DEF6B" w14:textId="77777777" w:rsidR="00657317" w:rsidRDefault="00657317" w:rsidP="00657317">
      <w:pPr>
        <w:pStyle w:val="berschrift3"/>
        <w:rPr>
          <w:rFonts w:eastAsia="Times New Roman"/>
        </w:rPr>
      </w:pPr>
      <w:r>
        <w:rPr>
          <w:rFonts w:eastAsia="Times New Roman"/>
        </w:rPr>
        <w:t>2. Hilfsantrag: konkrete Leistung</w:t>
      </w:r>
    </w:p>
    <w:p w14:paraId="4CF6BC3A" w14:textId="77777777" w:rsidR="00657317" w:rsidRDefault="00657317" w:rsidP="00657317">
      <w:pPr>
        <w:pStyle w:val="StandardWeb"/>
      </w:pPr>
      <w:r>
        <w:t>Hilfsweise beziehungsweise bei hinreichender Spruchreife:</w:t>
      </w:r>
    </w:p>
    <w:p w14:paraId="309FED8A" w14:textId="77777777" w:rsidR="00657317" w:rsidRDefault="00657317" w:rsidP="00657317">
      <w:pPr>
        <w:pStyle w:val="StandardWeb"/>
      </w:pPr>
      <w:r>
        <w:rPr>
          <w:rStyle w:val="Fett"/>
        </w:rPr>
        <w:t>Die Beklagte wird verpflichtet, dem Kläger oder dem von ihm benannten wissenschaftlichen Projektträger für den Zeitraum 1. Januar 2024 bis 31. Dezember 2025 einen wissenschaftlich geeigneten Zugang zu den bei ihr vorhandenen veröffentlichten Programmbeständen sowie den hierzu vorhandenen Identifikations-, Zeit-, Untertitel-, Transkript- und Erschließungsdaten zu gewähren, soweit keine konkret benannten überwiegenden Rechte Dritter entgegenstehen.</w:t>
      </w:r>
    </w:p>
    <w:p w14:paraId="02689344" w14:textId="77777777" w:rsidR="00657317" w:rsidRDefault="00657317" w:rsidP="00657317">
      <w:pPr>
        <w:pStyle w:val="berschrift3"/>
        <w:rPr>
          <w:rFonts w:eastAsia="Times New Roman"/>
        </w:rPr>
      </w:pPr>
      <w:r>
        <w:rPr>
          <w:rFonts w:eastAsia="Times New Roman"/>
        </w:rPr>
        <w:lastRenderedPageBreak/>
        <w:t>3. Weitere Hilfsanträge: Feststellung und Sicherung</w:t>
      </w:r>
    </w:p>
    <w:p w14:paraId="00E639CD" w14:textId="77777777" w:rsidR="00657317" w:rsidRDefault="00657317" w:rsidP="00657317">
      <w:pPr>
        <w:pStyle w:val="StandardWeb"/>
      </w:pPr>
      <w:r>
        <w:rPr>
          <w:rStyle w:val="Fett"/>
        </w:rPr>
        <w:t>Es wird festgestellt, dass die Beklagte nicht berechtigt ist, den wissenschaftlichen Zugang zu sämtlichen angefragten veröffentlichten Programmbeständen und technischen Erschließungsdaten pauschal unter Berufung auf den journalistisch-redaktionellen Bereich abzulehnen.</w:t>
      </w:r>
    </w:p>
    <w:p w14:paraId="1B441364" w14:textId="77777777" w:rsidR="00657317" w:rsidRDefault="00657317" w:rsidP="00657317">
      <w:pPr>
        <w:pStyle w:val="StandardWeb"/>
      </w:pPr>
      <w:r>
        <w:t>Und:</w:t>
      </w:r>
    </w:p>
    <w:p w14:paraId="1DA8AA5B" w14:textId="77777777" w:rsidR="00657317" w:rsidRDefault="00657317" w:rsidP="00657317">
      <w:pPr>
        <w:pStyle w:val="StandardWeb"/>
      </w:pPr>
      <w:r>
        <w:rPr>
          <w:rStyle w:val="Fett"/>
        </w:rPr>
        <w:t>Die Beklagte wird verpflichtet, die vom Antrag erfassten, vorhandenen Programmbestände und Erschließungsdaten bis zum rechtskräftigen Abschluss des Verfahrens unverändert zu sichern, soweit eine Löschung, Überschreibung oder sonstige Beeinträchtigung ihrer wissenschaftlichen Auswertbarkeit droht.</w:t>
      </w:r>
    </w:p>
    <w:p w14:paraId="6A9C3348" w14:textId="77777777" w:rsidR="00657317" w:rsidRDefault="00657317" w:rsidP="00657317">
      <w:pPr>
        <w:pStyle w:val="berschrift1"/>
        <w:rPr>
          <w:rFonts w:eastAsia="Times New Roman"/>
        </w:rPr>
      </w:pPr>
      <w:r>
        <w:rPr>
          <w:rFonts w:eastAsia="Times New Roman"/>
        </w:rPr>
        <w:t>Musterklage</w:t>
      </w:r>
    </w:p>
    <w:p w14:paraId="05684347" w14:textId="77777777" w:rsidR="00657317" w:rsidRDefault="00657317" w:rsidP="00657317">
      <w:pPr>
        <w:pStyle w:val="StandardWeb"/>
      </w:pPr>
      <w:r>
        <w:rPr>
          <w:rStyle w:val="Fett"/>
        </w:rPr>
        <w:t>An das Verwaltungsgericht [Ort]</w:t>
      </w:r>
    </w:p>
    <w:p w14:paraId="0BE9A069" w14:textId="77777777" w:rsidR="00657317" w:rsidRDefault="00657317" w:rsidP="00657317">
      <w:pPr>
        <w:pStyle w:val="berschrift2"/>
        <w:rPr>
          <w:rFonts w:eastAsia="Times New Roman"/>
        </w:rPr>
      </w:pPr>
      <w:r>
        <w:rPr>
          <w:rFonts w:eastAsia="Times New Roman"/>
        </w:rPr>
        <w:t>Verwaltungsrechtssache</w:t>
      </w:r>
    </w:p>
    <w:p w14:paraId="1CBB96AA" w14:textId="77777777" w:rsidR="00657317" w:rsidRDefault="00657317" w:rsidP="00657317">
      <w:pPr>
        <w:pStyle w:val="StandardWeb"/>
      </w:pPr>
      <w:r>
        <w:rPr>
          <w:rStyle w:val="Fett"/>
        </w:rPr>
        <w:t>[Name, Anschrift]</w:t>
      </w:r>
    </w:p>
    <w:p w14:paraId="638FCC46" w14:textId="77777777" w:rsidR="00657317" w:rsidRDefault="00657317" w:rsidP="00657317">
      <w:pPr>
        <w:pStyle w:val="StandardWeb"/>
      </w:pPr>
      <w:r>
        <w:t>– Kläger –</w:t>
      </w:r>
    </w:p>
    <w:p w14:paraId="1E9C9570" w14:textId="77777777" w:rsidR="00657317" w:rsidRDefault="00657317" w:rsidP="00657317">
      <w:pPr>
        <w:pStyle w:val="StandardWeb"/>
      </w:pPr>
      <w:r>
        <w:t>gegen</w:t>
      </w:r>
    </w:p>
    <w:p w14:paraId="781DB4C3" w14:textId="77777777" w:rsidR="00657317" w:rsidRDefault="00657317" w:rsidP="00657317">
      <w:pPr>
        <w:pStyle w:val="StandardWeb"/>
      </w:pPr>
      <w:r>
        <w:rPr>
          <w:rStyle w:val="Fett"/>
        </w:rPr>
        <w:t>[Landesrundfunkanstalt/ZDF/Deutschlandradio]</w:t>
      </w:r>
      <w:r>
        <w:t>,</w:t>
      </w:r>
      <w:r>
        <w:br/>
        <w:t>vertreten durch [Intendantin/Intendanten],</w:t>
      </w:r>
      <w:r>
        <w:br/>
        <w:t>[Anschrift]</w:t>
      </w:r>
    </w:p>
    <w:p w14:paraId="26AC9D32" w14:textId="77777777" w:rsidR="00657317" w:rsidRDefault="00657317" w:rsidP="00657317">
      <w:pPr>
        <w:pStyle w:val="StandardWeb"/>
      </w:pPr>
      <w:r>
        <w:t>– Beklagte –</w:t>
      </w:r>
    </w:p>
    <w:p w14:paraId="4717407C" w14:textId="77777777" w:rsidR="00657317" w:rsidRDefault="00657317" w:rsidP="00657317">
      <w:pPr>
        <w:pStyle w:val="berschrift2"/>
        <w:rPr>
          <w:rFonts w:eastAsia="Times New Roman"/>
        </w:rPr>
      </w:pPr>
      <w:r>
        <w:rPr>
          <w:rFonts w:eastAsia="Times New Roman"/>
        </w:rPr>
        <w:t>wegen wissenschaftlichen Zugangs zu Programmbeständen und Programmdaten</w:t>
      </w:r>
    </w:p>
    <w:p w14:paraId="6211AD29" w14:textId="77777777" w:rsidR="00657317" w:rsidRDefault="00657317" w:rsidP="00657317">
      <w:pPr>
        <w:pStyle w:val="StandardWeb"/>
      </w:pPr>
      <w:r>
        <w:t>erhebe ich Klage und beantrage,</w:t>
      </w:r>
    </w:p>
    <w:p w14:paraId="5B2CEF1C" w14:textId="77777777" w:rsidR="00657317" w:rsidRDefault="00657317" w:rsidP="00657317">
      <w:pPr>
        <w:pStyle w:val="berschrift3"/>
        <w:rPr>
          <w:rFonts w:eastAsia="Times New Roman"/>
        </w:rPr>
      </w:pPr>
      <w:r>
        <w:rPr>
          <w:rFonts w:eastAsia="Times New Roman"/>
        </w:rPr>
        <w:t>Hauptantrag</w:t>
      </w:r>
    </w:p>
    <w:p w14:paraId="65DDF09E" w14:textId="77777777" w:rsidR="00657317" w:rsidRDefault="00657317" w:rsidP="00657317">
      <w:pPr>
        <w:numPr>
          <w:ilvl w:val="0"/>
          <w:numId w:val="1"/>
        </w:numPr>
        <w:spacing w:before="100" w:beforeAutospacing="1" w:after="100" w:afterAutospacing="1"/>
        <w:rPr>
          <w:rFonts w:ascii="Aptos" w:eastAsia="Times New Roman" w:hAnsi="Aptos" w:cs="Aptos"/>
        </w:rPr>
      </w:pPr>
      <w:r>
        <w:rPr>
          <w:rFonts w:ascii="Aptos" w:eastAsia="Times New Roman" w:hAnsi="Aptos" w:cs="Aptos"/>
        </w:rPr>
        <w:t xml:space="preserve">die Beklagte zu verpflichten, über meinen Antrag vom </w:t>
      </w:r>
      <w:r>
        <w:rPr>
          <w:rStyle w:val="Fett"/>
          <w:rFonts w:ascii="Aptos" w:eastAsia="Times New Roman" w:hAnsi="Aptos" w:cs="Aptos"/>
        </w:rPr>
        <w:t>[Datum]</w:t>
      </w:r>
      <w:r>
        <w:rPr>
          <w:rFonts w:ascii="Aptos" w:eastAsia="Times New Roman" w:hAnsi="Aptos" w:cs="Aptos"/>
        </w:rPr>
        <w:t xml:space="preserve"> auf wissenschaftlichen Archiv- und Forschungszugang unter Beachtung der Rechtsauffassung des Gerichts erneut zu entscheiden;</w:t>
      </w:r>
    </w:p>
    <w:p w14:paraId="0E64C960" w14:textId="77777777" w:rsidR="00657317" w:rsidRDefault="00657317" w:rsidP="00657317">
      <w:pPr>
        <w:numPr>
          <w:ilvl w:val="0"/>
          <w:numId w:val="1"/>
        </w:numPr>
        <w:spacing w:before="100" w:beforeAutospacing="1" w:after="100" w:afterAutospacing="1"/>
        <w:rPr>
          <w:rFonts w:ascii="Aptos" w:eastAsia="Times New Roman" w:hAnsi="Aptos" w:cs="Aptos"/>
        </w:rPr>
      </w:pPr>
      <w:r>
        <w:rPr>
          <w:rFonts w:ascii="Aptos" w:eastAsia="Times New Roman" w:hAnsi="Aptos" w:cs="Aptos"/>
        </w:rPr>
        <w:t>die Beklagte hierbei zu verpflichten, über jede der folgenden Zugangsmöglichkeiten gesondert und auf Grundlage einer einzelfallbezogenen Abwägung zu entscheiden:</w:t>
      </w:r>
    </w:p>
    <w:p w14:paraId="4B8E1189" w14:textId="77777777" w:rsidR="00657317" w:rsidRDefault="00657317" w:rsidP="00657317">
      <w:pPr>
        <w:pStyle w:val="StandardWeb"/>
        <w:ind w:left="720"/>
      </w:pPr>
      <w:r>
        <w:lastRenderedPageBreak/>
        <w:t>a. Bestandsauskunft,</w:t>
      </w:r>
      <w:r>
        <w:br/>
        <w:t>b. Präsenz- und Sichtungszugang,</w:t>
      </w:r>
      <w:r>
        <w:br/>
        <w:t>c. zeitlich und sachlich begrenzter Pilotzugang,</w:t>
      </w:r>
      <w:r>
        <w:br/>
        <w:t>d. geschützter digitaler Zugang,</w:t>
      </w:r>
      <w:r>
        <w:br/>
        <w:t>e. Bereitstellung vorhandener Transkripte und Untertiteldateien,</w:t>
      </w:r>
      <w:r>
        <w:br/>
        <w:t>f. Bereitstellung vorhandener Identifikations-, Zeit- und Erschließungsmetadaten,</w:t>
      </w:r>
      <w:r>
        <w:br/>
        <w:t>g. wissenschaftliche Eigenrecherche in den Archiven,</w:t>
      </w:r>
      <w:r>
        <w:br/>
        <w:t>h. Zugang unter Vertraulichkeits-, Datenschutz- und Zweckbindungsauflagen;</w:t>
      </w:r>
    </w:p>
    <w:p w14:paraId="24438E50" w14:textId="77777777" w:rsidR="00657317" w:rsidRDefault="00657317" w:rsidP="00657317">
      <w:pPr>
        <w:pStyle w:val="berschrift3"/>
        <w:rPr>
          <w:rFonts w:eastAsia="Times New Roman"/>
        </w:rPr>
      </w:pPr>
      <w:r>
        <w:rPr>
          <w:rFonts w:eastAsia="Times New Roman"/>
        </w:rPr>
        <w:t>erster Hilfsantrag</w:t>
      </w:r>
    </w:p>
    <w:p w14:paraId="4EB748DC" w14:textId="77777777" w:rsidR="00657317" w:rsidRDefault="00657317" w:rsidP="00657317">
      <w:pPr>
        <w:numPr>
          <w:ilvl w:val="0"/>
          <w:numId w:val="2"/>
        </w:numPr>
        <w:spacing w:before="100" w:beforeAutospacing="1" w:after="100" w:afterAutospacing="1"/>
        <w:rPr>
          <w:rFonts w:ascii="Aptos" w:eastAsia="Times New Roman" w:hAnsi="Aptos" w:cs="Aptos"/>
        </w:rPr>
      </w:pPr>
      <w:r>
        <w:rPr>
          <w:rFonts w:ascii="Aptos" w:eastAsia="Times New Roman" w:hAnsi="Aptos" w:cs="Aptos"/>
        </w:rPr>
        <w:t xml:space="preserve">die Beklagte zu verpflichten, mir beziehungsweise dem von mir benannten wissenschaftlichen Projektträger für den Zeitraum vom </w:t>
      </w:r>
      <w:r>
        <w:rPr>
          <w:rStyle w:val="Fett"/>
          <w:rFonts w:ascii="Aptos" w:eastAsia="Times New Roman" w:hAnsi="Aptos" w:cs="Aptos"/>
        </w:rPr>
        <w:t>1. Januar 2024 bis 31. Dezember 2025</w:t>
      </w:r>
      <w:r>
        <w:rPr>
          <w:rFonts w:ascii="Aptos" w:eastAsia="Times New Roman" w:hAnsi="Aptos" w:cs="Aptos"/>
        </w:rPr>
        <w:t xml:space="preserve"> einen wissenschaftlich geeigneten Zugang zu den bei ihr vorhandenen, bereits veröffentlichten Programmbeständen und den hierzu vorhandenen Erschließungsdaten zu gewähren;</w:t>
      </w:r>
    </w:p>
    <w:p w14:paraId="687309CB" w14:textId="77777777" w:rsidR="00657317" w:rsidRDefault="00657317" w:rsidP="00657317">
      <w:pPr>
        <w:pStyle w:val="berschrift3"/>
        <w:rPr>
          <w:rFonts w:ascii="Aptos" w:eastAsia="Times New Roman" w:hAnsi="Aptos" w:cs="Aptos"/>
        </w:rPr>
      </w:pPr>
      <w:r>
        <w:rPr>
          <w:rFonts w:eastAsia="Times New Roman"/>
        </w:rPr>
        <w:t>zweiter Hilfsantrag</w:t>
      </w:r>
    </w:p>
    <w:p w14:paraId="204BA3D7" w14:textId="77777777" w:rsidR="00657317" w:rsidRDefault="00657317" w:rsidP="00657317">
      <w:pPr>
        <w:numPr>
          <w:ilvl w:val="0"/>
          <w:numId w:val="3"/>
        </w:numPr>
        <w:spacing w:before="100" w:beforeAutospacing="1" w:after="100" w:afterAutospacing="1"/>
        <w:rPr>
          <w:rFonts w:ascii="Aptos" w:eastAsia="Times New Roman" w:hAnsi="Aptos" w:cs="Aptos"/>
        </w:rPr>
      </w:pPr>
      <w:r>
        <w:rPr>
          <w:rFonts w:ascii="Aptos" w:eastAsia="Times New Roman" w:hAnsi="Aptos" w:cs="Aptos"/>
        </w:rPr>
        <w:t>festzustellen, dass die Beklagte nicht berechtigt ist, meinen Antrag pauschal und ohne Differenzierung zwischen veröffentlichten Programminhalten, technischen Metadaten, Transkripten, Untertiteln und vertraulichen redaktionellen Interna abzulehnen;</w:t>
      </w:r>
    </w:p>
    <w:p w14:paraId="10D92296" w14:textId="77777777" w:rsidR="00657317" w:rsidRDefault="00657317" w:rsidP="00657317">
      <w:pPr>
        <w:pStyle w:val="berschrift3"/>
        <w:rPr>
          <w:rFonts w:ascii="Aptos" w:eastAsia="Times New Roman" w:hAnsi="Aptos" w:cs="Aptos"/>
        </w:rPr>
      </w:pPr>
      <w:r>
        <w:rPr>
          <w:rFonts w:eastAsia="Times New Roman"/>
        </w:rPr>
        <w:t>dritter Hilfsantrag</w:t>
      </w:r>
    </w:p>
    <w:p w14:paraId="75107FCC" w14:textId="77777777" w:rsidR="00657317" w:rsidRDefault="00657317" w:rsidP="00657317">
      <w:pPr>
        <w:numPr>
          <w:ilvl w:val="0"/>
          <w:numId w:val="4"/>
        </w:numPr>
        <w:spacing w:before="100" w:beforeAutospacing="1" w:after="100" w:afterAutospacing="1"/>
        <w:rPr>
          <w:rFonts w:ascii="Aptos" w:eastAsia="Times New Roman" w:hAnsi="Aptos" w:cs="Aptos"/>
        </w:rPr>
      </w:pPr>
      <w:r>
        <w:rPr>
          <w:rFonts w:ascii="Aptos" w:eastAsia="Times New Roman" w:hAnsi="Aptos" w:cs="Aptos"/>
        </w:rPr>
        <w:t>festzustellen, dass die Beklagte verpflichtet ist, die Möglichkeit eines beschränkten Pilot-, Präsenz- oder Sichtungszugangs zu prüfen, bevor sie das Zugangsbegehren vollständig ablehnt;</w:t>
      </w:r>
    </w:p>
    <w:p w14:paraId="1503B4DD" w14:textId="77777777" w:rsidR="00657317" w:rsidRDefault="00657317" w:rsidP="00657317">
      <w:pPr>
        <w:pStyle w:val="berschrift3"/>
        <w:rPr>
          <w:rFonts w:ascii="Aptos" w:eastAsia="Times New Roman" w:hAnsi="Aptos" w:cs="Aptos"/>
        </w:rPr>
      </w:pPr>
      <w:r>
        <w:rPr>
          <w:rFonts w:eastAsia="Times New Roman"/>
        </w:rPr>
        <w:t>Sicherungsantrag</w:t>
      </w:r>
    </w:p>
    <w:p w14:paraId="4A3E5096" w14:textId="77777777" w:rsidR="00657317" w:rsidRDefault="00657317" w:rsidP="00657317">
      <w:pPr>
        <w:numPr>
          <w:ilvl w:val="0"/>
          <w:numId w:val="5"/>
        </w:numPr>
        <w:spacing w:before="100" w:beforeAutospacing="1" w:after="100" w:afterAutospacing="1"/>
        <w:rPr>
          <w:rFonts w:ascii="Aptos" w:eastAsia="Times New Roman" w:hAnsi="Aptos" w:cs="Aptos"/>
        </w:rPr>
      </w:pPr>
      <w:r>
        <w:rPr>
          <w:rFonts w:ascii="Aptos" w:eastAsia="Times New Roman" w:hAnsi="Aptos" w:cs="Aptos"/>
        </w:rPr>
        <w:t>die Beklagte zu verpflichten, die vom Antrag erfassten vorhandenen Programmbestände, Transkripte, Untertitel-, Segmentierungs- und Erschließungsdaten bis zum rechtskräftigen Abschluss des Verfahrens unverändert zu sichern, soweit deren Löschung, Überschreibung oder technische Veränderung droht;</w:t>
      </w:r>
    </w:p>
    <w:p w14:paraId="53A65D36" w14:textId="77777777" w:rsidR="00657317" w:rsidRDefault="00657317" w:rsidP="00657317">
      <w:pPr>
        <w:numPr>
          <w:ilvl w:val="0"/>
          <w:numId w:val="5"/>
        </w:numPr>
        <w:spacing w:before="100" w:beforeAutospacing="1" w:after="100" w:afterAutospacing="1"/>
        <w:rPr>
          <w:rFonts w:ascii="Aptos" w:eastAsia="Times New Roman" w:hAnsi="Aptos" w:cs="Aptos"/>
        </w:rPr>
      </w:pPr>
      <w:r>
        <w:rPr>
          <w:rFonts w:ascii="Aptos" w:eastAsia="Times New Roman" w:hAnsi="Aptos" w:cs="Aptos"/>
        </w:rPr>
        <w:t>hilfsweise der Beklagten aufzugeben, Auskunft über die geltenden Aufbewahrungs-, Lösch-, Überschreibungs- und Migrationsfristen der angefragten Daten zu erteilen;</w:t>
      </w:r>
    </w:p>
    <w:p w14:paraId="3052CED7" w14:textId="77777777" w:rsidR="00657317" w:rsidRDefault="00657317" w:rsidP="00657317">
      <w:pPr>
        <w:numPr>
          <w:ilvl w:val="0"/>
          <w:numId w:val="5"/>
        </w:numPr>
        <w:spacing w:before="100" w:beforeAutospacing="1" w:after="100" w:afterAutospacing="1"/>
        <w:rPr>
          <w:rFonts w:ascii="Aptos" w:eastAsia="Times New Roman" w:hAnsi="Aptos" w:cs="Aptos"/>
        </w:rPr>
      </w:pPr>
      <w:r>
        <w:rPr>
          <w:rFonts w:ascii="Aptos" w:eastAsia="Times New Roman" w:hAnsi="Aptos" w:cs="Aptos"/>
        </w:rPr>
        <w:t>die Kosten des Verfahrens der Beklagten aufzuerlegen.</w:t>
      </w:r>
    </w:p>
    <w:p w14:paraId="73D5C8FF" w14:textId="77777777" w:rsidR="00657317" w:rsidRDefault="00657317" w:rsidP="00657317">
      <w:pPr>
        <w:pStyle w:val="berschrift1"/>
        <w:rPr>
          <w:rFonts w:ascii="Aptos" w:eastAsia="Times New Roman" w:hAnsi="Aptos" w:cs="Aptos"/>
        </w:rPr>
      </w:pPr>
      <w:r>
        <w:rPr>
          <w:rFonts w:eastAsia="Times New Roman"/>
        </w:rPr>
        <w:lastRenderedPageBreak/>
        <w:t>Begründung</w:t>
      </w:r>
    </w:p>
    <w:p w14:paraId="6B8CD5FF" w14:textId="77777777" w:rsidR="00657317" w:rsidRDefault="00657317" w:rsidP="00657317">
      <w:pPr>
        <w:pStyle w:val="berschrift2"/>
        <w:rPr>
          <w:rFonts w:eastAsia="Times New Roman"/>
        </w:rPr>
      </w:pPr>
      <w:r>
        <w:rPr>
          <w:rFonts w:eastAsia="Times New Roman"/>
        </w:rPr>
        <w:t>I. Sachverhalt</w:t>
      </w:r>
    </w:p>
    <w:p w14:paraId="14FA7F1E" w14:textId="77777777" w:rsidR="00657317" w:rsidRDefault="00657317" w:rsidP="00657317">
      <w:pPr>
        <w:pStyle w:val="StandardWeb"/>
      </w:pPr>
      <w:r>
        <w:t>Der Kläger ist rundfunkbeitragspflichtig und wird dauerhaft zur Finanzierung des öffentlich-rechtlichen Rundfunks herangezogen.</w:t>
      </w:r>
    </w:p>
    <w:p w14:paraId="68EB4F87" w14:textId="77777777" w:rsidR="00657317" w:rsidRDefault="00657317" w:rsidP="00657317">
      <w:pPr>
        <w:pStyle w:val="StandardWeb"/>
      </w:pPr>
      <w:r>
        <w:t xml:space="preserve">Mit Schreiben vom </w:t>
      </w:r>
      <w:r>
        <w:rPr>
          <w:rStyle w:val="Fett"/>
        </w:rPr>
        <w:t>[Datum]</w:t>
      </w:r>
      <w:r>
        <w:t xml:space="preserve"> beantragte er bei der Beklagten wissenschaftlichen Archiv- und Forschungszugang zu den von ihr verantworteten, bereits veröffentlichten Programmbeständen für den Zeitraum vom 1. Januar 2024 bis zum 31. Dezember 2025.</w:t>
      </w:r>
    </w:p>
    <w:p w14:paraId="2656DFA3" w14:textId="77777777" w:rsidR="00657317" w:rsidRDefault="00657317" w:rsidP="00657317">
      <w:pPr>
        <w:pStyle w:val="StandardWeb"/>
      </w:pPr>
      <w:r>
        <w:t>Der Antrag war bewusst abgestuft. Verlangt wurden zunächst:</w:t>
      </w:r>
    </w:p>
    <w:p w14:paraId="6DCE31C6" w14:textId="77777777" w:rsidR="00657317" w:rsidRDefault="00657317" w:rsidP="00657317">
      <w:pPr>
        <w:numPr>
          <w:ilvl w:val="0"/>
          <w:numId w:val="6"/>
        </w:numPr>
        <w:spacing w:before="100" w:beforeAutospacing="1" w:after="100" w:afterAutospacing="1"/>
        <w:rPr>
          <w:rFonts w:ascii="Aptos" w:eastAsia="Times New Roman" w:hAnsi="Aptos" w:cs="Aptos"/>
        </w:rPr>
      </w:pPr>
      <w:r>
        <w:rPr>
          <w:rFonts w:ascii="Aptos" w:eastAsia="Times New Roman" w:hAnsi="Aptos" w:cs="Aptos"/>
        </w:rPr>
        <w:t>eine Bestandsauskunft,</w:t>
      </w:r>
    </w:p>
    <w:p w14:paraId="1A5876A9" w14:textId="77777777" w:rsidR="00657317" w:rsidRDefault="00657317" w:rsidP="00657317">
      <w:pPr>
        <w:numPr>
          <w:ilvl w:val="0"/>
          <w:numId w:val="6"/>
        </w:numPr>
        <w:spacing w:before="100" w:beforeAutospacing="1" w:after="100" w:afterAutospacing="1"/>
        <w:rPr>
          <w:rFonts w:ascii="Aptos" w:eastAsia="Times New Roman" w:hAnsi="Aptos" w:cs="Aptos"/>
        </w:rPr>
      </w:pPr>
      <w:r>
        <w:rPr>
          <w:rFonts w:ascii="Aptos" w:eastAsia="Times New Roman" w:hAnsi="Aptos" w:cs="Aptos"/>
        </w:rPr>
        <w:t>die Benennung vorhandener Audio- und Videobestände,</w:t>
      </w:r>
    </w:p>
    <w:p w14:paraId="4ECD034A" w14:textId="77777777" w:rsidR="00657317" w:rsidRDefault="00657317" w:rsidP="00657317">
      <w:pPr>
        <w:numPr>
          <w:ilvl w:val="0"/>
          <w:numId w:val="6"/>
        </w:numPr>
        <w:spacing w:before="100" w:beforeAutospacing="1" w:after="100" w:afterAutospacing="1"/>
        <w:rPr>
          <w:rFonts w:ascii="Aptos" w:eastAsia="Times New Roman" w:hAnsi="Aptos" w:cs="Aptos"/>
        </w:rPr>
      </w:pPr>
      <w:r>
        <w:rPr>
          <w:rFonts w:ascii="Aptos" w:eastAsia="Times New Roman" w:hAnsi="Aptos" w:cs="Aptos"/>
        </w:rPr>
        <w:t>vorhandene Transkripte und Untertiteldateien,</w:t>
      </w:r>
    </w:p>
    <w:p w14:paraId="2A041C2E" w14:textId="77777777" w:rsidR="00657317" w:rsidRDefault="00657317" w:rsidP="00657317">
      <w:pPr>
        <w:numPr>
          <w:ilvl w:val="0"/>
          <w:numId w:val="6"/>
        </w:numPr>
        <w:spacing w:before="100" w:beforeAutospacing="1" w:after="100" w:afterAutospacing="1"/>
        <w:rPr>
          <w:rFonts w:ascii="Aptos" w:eastAsia="Times New Roman" w:hAnsi="Aptos" w:cs="Aptos"/>
        </w:rPr>
      </w:pPr>
      <w:r>
        <w:rPr>
          <w:rFonts w:ascii="Aptos" w:eastAsia="Times New Roman" w:hAnsi="Aptos" w:cs="Aptos"/>
        </w:rPr>
        <w:t>Identifikations-, Zeit- und Erschließungsmetadaten,</w:t>
      </w:r>
    </w:p>
    <w:p w14:paraId="7AB9D292" w14:textId="77777777" w:rsidR="00657317" w:rsidRDefault="00657317" w:rsidP="00657317">
      <w:pPr>
        <w:numPr>
          <w:ilvl w:val="0"/>
          <w:numId w:val="6"/>
        </w:numPr>
        <w:spacing w:before="100" w:beforeAutospacing="1" w:after="100" w:afterAutospacing="1"/>
        <w:rPr>
          <w:rFonts w:ascii="Aptos" w:eastAsia="Times New Roman" w:hAnsi="Aptos" w:cs="Aptos"/>
        </w:rPr>
      </w:pPr>
      <w:r>
        <w:rPr>
          <w:rFonts w:ascii="Aptos" w:eastAsia="Times New Roman" w:hAnsi="Aptos" w:cs="Aptos"/>
        </w:rPr>
        <w:t>Informationen über vorhandene Recherche- und Sichtungsmöglichkeiten,</w:t>
      </w:r>
    </w:p>
    <w:p w14:paraId="45D01E47" w14:textId="77777777" w:rsidR="00657317" w:rsidRDefault="00657317" w:rsidP="00657317">
      <w:pPr>
        <w:numPr>
          <w:ilvl w:val="0"/>
          <w:numId w:val="6"/>
        </w:numPr>
        <w:spacing w:before="100" w:beforeAutospacing="1" w:after="100" w:afterAutospacing="1"/>
        <w:rPr>
          <w:rFonts w:ascii="Aptos" w:eastAsia="Times New Roman" w:hAnsi="Aptos" w:cs="Aptos"/>
        </w:rPr>
      </w:pPr>
      <w:r>
        <w:rPr>
          <w:rFonts w:ascii="Aptos" w:eastAsia="Times New Roman" w:hAnsi="Aptos" w:cs="Aptos"/>
        </w:rPr>
        <w:t>hilfsweise ein beschränkter Pilot- oder Präsenzzugang.</w:t>
      </w:r>
    </w:p>
    <w:p w14:paraId="5C267191" w14:textId="77777777" w:rsidR="00657317" w:rsidRDefault="00657317" w:rsidP="00657317">
      <w:pPr>
        <w:pStyle w:val="StandardWeb"/>
      </w:pPr>
      <w:r>
        <w:t>Ausdrücklich nicht verlangt wurden vertrauliche Quellen, Informantendaten, interne journalistische Kommunikation oder nicht veröffentlichtes investigatives Material.</w:t>
      </w:r>
    </w:p>
    <w:p w14:paraId="49DFB778" w14:textId="77777777" w:rsidR="00657317" w:rsidRDefault="00657317" w:rsidP="00657317">
      <w:pPr>
        <w:pStyle w:val="StandardWeb"/>
      </w:pPr>
      <w:r>
        <w:t>Der Antrag bot zudem umfassende Schutzmaßnahmen an, darunter wissenschaftliche Zweckbindung, Vertraulichkeitsvereinbarungen, Beschränkung auf benannte Forscher, gesicherte Datenräume, Ausschluss einer kommerziellen Nutzung und Veröffentlichung nur aggregierter Ergebnisse. Die einheitliche Forschungsanlage beschreibt Forschungsfrage, Untersuchungsgegenstand, Methodik und Schutzmaßnahmen konkret.</w:t>
      </w:r>
    </w:p>
    <w:p w14:paraId="268E50BC" w14:textId="77777777" w:rsidR="00657317" w:rsidRDefault="00657317" w:rsidP="00657317">
      <w:pPr>
        <w:pStyle w:val="StandardWeb"/>
      </w:pPr>
      <w:r>
        <w:t xml:space="preserve">Mit weiterem Schreiben vom </w:t>
      </w:r>
      <w:r>
        <w:rPr>
          <w:rStyle w:val="Fett"/>
        </w:rPr>
        <w:t>[Datum]</w:t>
      </w:r>
      <w:r>
        <w:t xml:space="preserve"> wurde die Beklagte aufgefordert, die angefragten Daten bis zur abschließenden Klärung zu sichern.</w:t>
      </w:r>
    </w:p>
    <w:p w14:paraId="3CBC037B" w14:textId="77777777" w:rsidR="00657317" w:rsidRDefault="00657317" w:rsidP="00657317">
      <w:pPr>
        <w:pStyle w:val="StandardWeb"/>
      </w:pPr>
      <w:r>
        <w:t xml:space="preserve">Die Beklagte lehnte den Antrag mit Schreiben vom </w:t>
      </w:r>
      <w:r>
        <w:rPr>
          <w:rStyle w:val="Fett"/>
        </w:rPr>
        <w:t>[Datum]</w:t>
      </w:r>
      <w:r>
        <w:t xml:space="preserve"> ab beziehungsweise beantwortete ihn trotz Erinnerung vom </w:t>
      </w:r>
      <w:r>
        <w:rPr>
          <w:rStyle w:val="Fett"/>
        </w:rPr>
        <w:t>[Datum]</w:t>
      </w:r>
      <w:r>
        <w:t xml:space="preserve"> nicht abschließend. Die Erinnerung verlangte ausdrücklich eine gesonderte Entscheidung über archivierte Programminhalte, Transkripte, Untertitel, Metadaten, Pilotzugang, Kooperation und Datensicherung.</w:t>
      </w:r>
    </w:p>
    <w:p w14:paraId="13DE4E98" w14:textId="77777777" w:rsidR="00657317" w:rsidRDefault="00657317" w:rsidP="00657317">
      <w:pPr>
        <w:pStyle w:val="berschrift2"/>
        <w:rPr>
          <w:rFonts w:eastAsia="Times New Roman"/>
        </w:rPr>
      </w:pPr>
      <w:r>
        <w:rPr>
          <w:rFonts w:eastAsia="Times New Roman"/>
        </w:rPr>
        <w:t>II. Verwaltungsrechtsweg</w:t>
      </w:r>
    </w:p>
    <w:p w14:paraId="5279C694" w14:textId="77777777" w:rsidR="00657317" w:rsidRDefault="00657317" w:rsidP="00657317">
      <w:pPr>
        <w:pStyle w:val="StandardWeb"/>
      </w:pPr>
      <w:r>
        <w:t>Der Verwaltungsrechtsweg ist eröffnet.</w:t>
      </w:r>
    </w:p>
    <w:p w14:paraId="24C3FFCC" w14:textId="77777777" w:rsidR="00657317" w:rsidRDefault="00657317" w:rsidP="00657317">
      <w:pPr>
        <w:pStyle w:val="StandardWeb"/>
      </w:pPr>
      <w:r>
        <w:t>Die Beklagte ist eine rechtsfähige Anstalt des öffentlichen Rechts. Der Streit betrifft nicht einen privatrechtlichen Erwerb einzelner Sendungen, sondern die Reichweite ihrer öffentlich-rechtlichen Archiv-, Transparenz-, Zugangs- und Mitwirkungspflichten im Zusammenhang mit der Erfüllung ihres gesetzlichen und verfassungsrechtlichen Funktionsauftrags.</w:t>
      </w:r>
    </w:p>
    <w:p w14:paraId="0E38FB65" w14:textId="77777777" w:rsidR="00657317" w:rsidRDefault="00657317" w:rsidP="00657317">
      <w:pPr>
        <w:pStyle w:val="StandardWeb"/>
      </w:pPr>
      <w:r>
        <w:lastRenderedPageBreak/>
        <w:t>Die Archive von ARD, ZDF und Deutschlandradio erklären selbst, durch die Zugänglichmachung von Originalquellen einen gesellschaftlichen Beitrag zu leisten und einen Zugang für Wissenschaft und Forschung anzubieten. Das DRA wird als Erstansprechpartner für allgemeine wissenschaftliche und anstaltsübergreifende Recherchen bezeichnet. (</w:t>
      </w:r>
      <w:hyperlink r:id="rId5" w:tooltip="Archive der ARD – Partner von Wissenschaft und Forschung" w:history="1">
        <w:r>
          <w:rPr>
            <w:rStyle w:val="Hyperlink"/>
          </w:rPr>
          <w:t>ard.de</w:t>
        </w:r>
      </w:hyperlink>
      <w:r>
        <w:t>)</w:t>
      </w:r>
    </w:p>
    <w:p w14:paraId="3B1113B4" w14:textId="77777777" w:rsidR="00657317" w:rsidRDefault="00657317" w:rsidP="00657317">
      <w:pPr>
        <w:pStyle w:val="StandardWeb"/>
      </w:pPr>
      <w:r>
        <w:t>Die Beklagte handelt daher nicht ausschließlich wie eine private Rechteinhaberin am Markt, sondern im Rahmen einer öffentlich-rechtlich strukturierten Aufgabenwahrnehmung.</w:t>
      </w:r>
    </w:p>
    <w:p w14:paraId="192DBB35" w14:textId="77777777" w:rsidR="00657317" w:rsidRDefault="00657317" w:rsidP="00657317">
      <w:pPr>
        <w:pStyle w:val="berschrift2"/>
        <w:rPr>
          <w:rFonts w:eastAsia="Times New Roman"/>
        </w:rPr>
      </w:pPr>
      <w:r>
        <w:rPr>
          <w:rFonts w:eastAsia="Times New Roman"/>
        </w:rPr>
        <w:t>III. Statthafte Klageart</w:t>
      </w:r>
    </w:p>
    <w:p w14:paraId="0A73996E" w14:textId="77777777" w:rsidR="00657317" w:rsidRDefault="00657317" w:rsidP="00657317">
      <w:pPr>
        <w:pStyle w:val="StandardWeb"/>
      </w:pPr>
      <w:r>
        <w:t>Statthaft ist primär die allgemeine Leistungsklage beziehungsweise – soweit die Ablehnung als Verwaltungsakt einzuordnen ist – die Verpflichtungsklage.</w:t>
      </w:r>
    </w:p>
    <w:p w14:paraId="0FD1B4C8" w14:textId="77777777" w:rsidR="00657317" w:rsidRDefault="00657317" w:rsidP="00657317">
      <w:pPr>
        <w:pStyle w:val="StandardWeb"/>
      </w:pPr>
      <w:r>
        <w:t>§ 42 Abs. 1 VwGO erfasst die Verurteilung zum Erlass eines abgelehnten oder unterlassenen Verwaltungsakts. (</w:t>
      </w:r>
      <w:hyperlink r:id="rId6" w:tooltip="§ 42 VwGO - Einzelnorm - Gesetze im Internet" w:history="1">
        <w:r>
          <w:rPr>
            <w:rStyle w:val="Hyperlink"/>
          </w:rPr>
          <w:t>Gesetze im Internet</w:t>
        </w:r>
      </w:hyperlink>
      <w:r>
        <w:t>) Sollte das Gericht die Entscheidung über den Archivzugang nicht als Verwaltungsakt ansehen, ist das Leistungsbegehren als allgemeine Leistungsklage zu behandeln.</w:t>
      </w:r>
    </w:p>
    <w:p w14:paraId="7B110963" w14:textId="77777777" w:rsidR="00657317" w:rsidRDefault="00657317" w:rsidP="00657317">
      <w:pPr>
        <w:pStyle w:val="StandardWeb"/>
      </w:pPr>
      <w:r>
        <w:t>Die hilfsweisen Feststellungsanträge sind nach § 43 Abs. 1 VwGO statthaft, weil zwischen Kläger und Beklagter ein konkreter Streit über Reichweite und Grenzen des wissenschaftlichen Zugangs besteht. Eine Feststellungsklage setzt ein konkretes Rechtsverhältnis und ein berechtigtes Interesse an baldiger Klärung voraus. (</w:t>
      </w:r>
      <w:hyperlink r:id="rId7" w:tooltip="§ 43 VwGO - Einzelnorm - Gesetze im Internet" w:history="1">
        <w:r>
          <w:rPr>
            <w:rStyle w:val="Hyperlink"/>
          </w:rPr>
          <w:t>Gesetze im Internet</w:t>
        </w:r>
      </w:hyperlink>
      <w:r>
        <w:t>)</w:t>
      </w:r>
    </w:p>
    <w:p w14:paraId="57A205A9" w14:textId="77777777" w:rsidR="00657317" w:rsidRDefault="00657317" w:rsidP="00657317">
      <w:pPr>
        <w:pStyle w:val="berschrift2"/>
        <w:rPr>
          <w:rFonts w:eastAsia="Times New Roman"/>
        </w:rPr>
      </w:pPr>
      <w:r>
        <w:rPr>
          <w:rFonts w:eastAsia="Times New Roman"/>
        </w:rPr>
        <w:t>IV. Klagebefugnis und Rechtsschutzinteresse</w:t>
      </w:r>
    </w:p>
    <w:p w14:paraId="7DC01768" w14:textId="77777777" w:rsidR="00657317" w:rsidRDefault="00657317" w:rsidP="00657317">
      <w:pPr>
        <w:pStyle w:val="StandardWeb"/>
      </w:pPr>
      <w:r>
        <w:t>Der Kläger macht keine allgemeine Popularklage geltend.</w:t>
      </w:r>
    </w:p>
    <w:p w14:paraId="4D4EEA04" w14:textId="77777777" w:rsidR="00657317" w:rsidRDefault="00657317" w:rsidP="00657317">
      <w:pPr>
        <w:pStyle w:val="StandardWeb"/>
      </w:pPr>
      <w:r>
        <w:t>Er hat selbst einen konkreten wissenschaftlichen Zugang beantragt. Dieser Antrag wurde abgelehnt oder nicht beschieden.</w:t>
      </w:r>
    </w:p>
    <w:p w14:paraId="6774713E" w14:textId="77777777" w:rsidR="00657317" w:rsidRDefault="00657317" w:rsidP="00657317">
      <w:pPr>
        <w:pStyle w:val="StandardWeb"/>
      </w:pPr>
      <w:r>
        <w:t>Sein Interesse beruht auf mehreren Ebenen:</w:t>
      </w:r>
    </w:p>
    <w:p w14:paraId="792956E6" w14:textId="77777777" w:rsidR="00657317" w:rsidRDefault="00657317" w:rsidP="00657317">
      <w:pPr>
        <w:numPr>
          <w:ilvl w:val="0"/>
          <w:numId w:val="7"/>
        </w:numPr>
        <w:spacing w:before="100" w:beforeAutospacing="1" w:after="100" w:afterAutospacing="1"/>
        <w:rPr>
          <w:rFonts w:ascii="Aptos" w:eastAsia="Times New Roman" w:hAnsi="Aptos" w:cs="Aptos"/>
        </w:rPr>
      </w:pPr>
      <w:r>
        <w:rPr>
          <w:rFonts w:ascii="Aptos" w:eastAsia="Times New Roman" w:hAnsi="Aptos" w:cs="Aptos"/>
        </w:rPr>
        <w:t>Er ist dauerhaft beitragspflichtig.</w:t>
      </w:r>
    </w:p>
    <w:p w14:paraId="41F7ADAA" w14:textId="77777777" w:rsidR="00657317" w:rsidRDefault="00657317" w:rsidP="00657317">
      <w:pPr>
        <w:numPr>
          <w:ilvl w:val="0"/>
          <w:numId w:val="7"/>
        </w:numPr>
        <w:spacing w:before="100" w:beforeAutospacing="1" w:after="100" w:afterAutospacing="1"/>
        <w:rPr>
          <w:rFonts w:ascii="Aptos" w:eastAsia="Times New Roman" w:hAnsi="Aptos" w:cs="Aptos"/>
        </w:rPr>
      </w:pPr>
      <w:r>
        <w:rPr>
          <w:rFonts w:ascii="Aptos" w:eastAsia="Times New Roman" w:hAnsi="Aptos" w:cs="Aptos"/>
        </w:rPr>
        <w:t>Das Bundesverwaltungsgericht hat programmbezogene Einwendungen grundsätzlich geöffnet.</w:t>
      </w:r>
    </w:p>
    <w:p w14:paraId="55CE3331" w14:textId="77777777" w:rsidR="00657317" w:rsidRDefault="00657317" w:rsidP="00657317">
      <w:pPr>
        <w:numPr>
          <w:ilvl w:val="0"/>
          <w:numId w:val="7"/>
        </w:numPr>
        <w:spacing w:before="100" w:beforeAutospacing="1" w:after="100" w:afterAutospacing="1"/>
        <w:rPr>
          <w:rFonts w:ascii="Aptos" w:eastAsia="Times New Roman" w:hAnsi="Aptos" w:cs="Aptos"/>
        </w:rPr>
      </w:pPr>
      <w:r>
        <w:rPr>
          <w:rFonts w:ascii="Aptos" w:eastAsia="Times New Roman" w:hAnsi="Aptos" w:cs="Aptos"/>
        </w:rPr>
        <w:t>Die dafür verlangte wissenschaftliche Langzeitanalyse setzt stabile Programmdaten voraus.</w:t>
      </w:r>
    </w:p>
    <w:p w14:paraId="628EAFDF" w14:textId="77777777" w:rsidR="00657317" w:rsidRDefault="00657317" w:rsidP="00657317">
      <w:pPr>
        <w:numPr>
          <w:ilvl w:val="0"/>
          <w:numId w:val="7"/>
        </w:numPr>
        <w:spacing w:before="100" w:beforeAutospacing="1" w:after="100" w:afterAutospacing="1"/>
        <w:rPr>
          <w:rFonts w:ascii="Aptos" w:eastAsia="Times New Roman" w:hAnsi="Aptos" w:cs="Aptos"/>
        </w:rPr>
      </w:pPr>
      <w:r>
        <w:rPr>
          <w:rFonts w:ascii="Aptos" w:eastAsia="Times New Roman" w:hAnsi="Aptos" w:cs="Aptos"/>
        </w:rPr>
        <w:t>Die angefragten Daten befinden sich überwiegend in der Sphäre der Beklagten.</w:t>
      </w:r>
    </w:p>
    <w:p w14:paraId="16FDEC62" w14:textId="77777777" w:rsidR="00657317" w:rsidRDefault="00657317" w:rsidP="00657317">
      <w:pPr>
        <w:numPr>
          <w:ilvl w:val="0"/>
          <w:numId w:val="7"/>
        </w:numPr>
        <w:spacing w:before="100" w:beforeAutospacing="1" w:after="100" w:afterAutospacing="1"/>
        <w:rPr>
          <w:rFonts w:ascii="Aptos" w:eastAsia="Times New Roman" w:hAnsi="Aptos" w:cs="Aptos"/>
        </w:rPr>
      </w:pPr>
      <w:r>
        <w:rPr>
          <w:rFonts w:ascii="Aptos" w:eastAsia="Times New Roman" w:hAnsi="Aptos" w:cs="Aptos"/>
        </w:rPr>
        <w:t>Die Beklagte hat selbst öffentlich einen wissenschaftlichen Archivzugang angekündigt.</w:t>
      </w:r>
    </w:p>
    <w:p w14:paraId="2662346F" w14:textId="77777777" w:rsidR="00657317" w:rsidRDefault="00657317" w:rsidP="00657317">
      <w:pPr>
        <w:pStyle w:val="StandardWeb"/>
      </w:pPr>
      <w:r>
        <w:t>Der Kläger begehrt daher keine abstrakte Bewertung des Rundfunks, sondern Zugang zu konkret bezeichneten Quellen für ein konkret beschriebenes Forschungsprojekt.</w:t>
      </w:r>
    </w:p>
    <w:p w14:paraId="20824F15" w14:textId="77777777" w:rsidR="00657317" w:rsidRDefault="00657317" w:rsidP="00657317">
      <w:pPr>
        <w:pStyle w:val="berschrift2"/>
        <w:rPr>
          <w:rFonts w:eastAsia="Times New Roman"/>
        </w:rPr>
      </w:pPr>
      <w:r>
        <w:rPr>
          <w:rFonts w:eastAsia="Times New Roman"/>
        </w:rPr>
        <w:lastRenderedPageBreak/>
        <w:t>V. Keine unzulässige Ausforschung</w:t>
      </w:r>
    </w:p>
    <w:p w14:paraId="42209A6B" w14:textId="77777777" w:rsidR="00657317" w:rsidRDefault="00657317" w:rsidP="00657317">
      <w:pPr>
        <w:pStyle w:val="StandardWeb"/>
      </w:pPr>
      <w:r>
        <w:t>Die Beklagte kann den Antrag nicht als grenzenlose Ausforschung behandeln.</w:t>
      </w:r>
    </w:p>
    <w:p w14:paraId="77D0C0C7" w14:textId="77777777" w:rsidR="00657317" w:rsidRDefault="00657317" w:rsidP="00657317">
      <w:pPr>
        <w:pStyle w:val="StandardWeb"/>
      </w:pPr>
      <w:r>
        <w:t>Das Begehren ist zeitlich, sachlich und funktional begrenzt:</w:t>
      </w:r>
    </w:p>
    <w:p w14:paraId="1E807E31" w14:textId="77777777" w:rsidR="00657317" w:rsidRDefault="00657317" w:rsidP="00657317">
      <w:pPr>
        <w:numPr>
          <w:ilvl w:val="0"/>
          <w:numId w:val="8"/>
        </w:numPr>
        <w:spacing w:before="100" w:beforeAutospacing="1" w:after="100" w:afterAutospacing="1"/>
        <w:rPr>
          <w:rFonts w:ascii="Aptos" w:eastAsia="Times New Roman" w:hAnsi="Aptos" w:cs="Aptos"/>
        </w:rPr>
      </w:pPr>
      <w:r>
        <w:rPr>
          <w:rFonts w:ascii="Aptos" w:eastAsia="Times New Roman" w:hAnsi="Aptos" w:cs="Aptos"/>
        </w:rPr>
        <w:t>Zeitraum: zwei Jahre;</w:t>
      </w:r>
    </w:p>
    <w:p w14:paraId="4275E6DB" w14:textId="77777777" w:rsidR="00657317" w:rsidRDefault="00657317" w:rsidP="00657317">
      <w:pPr>
        <w:numPr>
          <w:ilvl w:val="0"/>
          <w:numId w:val="8"/>
        </w:numPr>
        <w:spacing w:before="100" w:beforeAutospacing="1" w:after="100" w:afterAutospacing="1"/>
        <w:rPr>
          <w:rFonts w:ascii="Aptos" w:eastAsia="Times New Roman" w:hAnsi="Aptos" w:cs="Aptos"/>
        </w:rPr>
      </w:pPr>
      <w:r>
        <w:rPr>
          <w:rFonts w:ascii="Aptos" w:eastAsia="Times New Roman" w:hAnsi="Aptos" w:cs="Aptos"/>
        </w:rPr>
        <w:t>nur von der Beklagten verantwortete Angebote;</w:t>
      </w:r>
    </w:p>
    <w:p w14:paraId="40263D38" w14:textId="77777777" w:rsidR="00657317" w:rsidRDefault="00657317" w:rsidP="00657317">
      <w:pPr>
        <w:numPr>
          <w:ilvl w:val="0"/>
          <w:numId w:val="8"/>
        </w:numPr>
        <w:spacing w:before="100" w:beforeAutospacing="1" w:after="100" w:afterAutospacing="1"/>
        <w:rPr>
          <w:rFonts w:ascii="Aptos" w:eastAsia="Times New Roman" w:hAnsi="Aptos" w:cs="Aptos"/>
        </w:rPr>
      </w:pPr>
      <w:r>
        <w:rPr>
          <w:rFonts w:ascii="Aptos" w:eastAsia="Times New Roman" w:hAnsi="Aptos" w:cs="Aptos"/>
        </w:rPr>
        <w:t>nur bereits veröffentlichte Inhalte;</w:t>
      </w:r>
    </w:p>
    <w:p w14:paraId="16076922" w14:textId="77777777" w:rsidR="00657317" w:rsidRDefault="00657317" w:rsidP="00657317">
      <w:pPr>
        <w:numPr>
          <w:ilvl w:val="0"/>
          <w:numId w:val="8"/>
        </w:numPr>
        <w:spacing w:before="100" w:beforeAutospacing="1" w:after="100" w:afterAutospacing="1"/>
        <w:rPr>
          <w:rFonts w:ascii="Aptos" w:eastAsia="Times New Roman" w:hAnsi="Aptos" w:cs="Aptos"/>
        </w:rPr>
      </w:pPr>
      <w:r>
        <w:rPr>
          <w:rFonts w:ascii="Aptos" w:eastAsia="Times New Roman" w:hAnsi="Aptos" w:cs="Aptos"/>
        </w:rPr>
        <w:t>nur vorhandene Daten;</w:t>
      </w:r>
    </w:p>
    <w:p w14:paraId="35590462" w14:textId="77777777" w:rsidR="00657317" w:rsidRDefault="00657317" w:rsidP="00657317">
      <w:pPr>
        <w:numPr>
          <w:ilvl w:val="0"/>
          <w:numId w:val="8"/>
        </w:numPr>
        <w:spacing w:before="100" w:beforeAutospacing="1" w:after="100" w:afterAutospacing="1"/>
        <w:rPr>
          <w:rFonts w:ascii="Aptos" w:eastAsia="Times New Roman" w:hAnsi="Aptos" w:cs="Aptos"/>
        </w:rPr>
      </w:pPr>
      <w:r>
        <w:rPr>
          <w:rFonts w:ascii="Aptos" w:eastAsia="Times New Roman" w:hAnsi="Aptos" w:cs="Aptos"/>
        </w:rPr>
        <w:t>keine vertraulichen journalistischen Quellen;</w:t>
      </w:r>
    </w:p>
    <w:p w14:paraId="330A04EF" w14:textId="77777777" w:rsidR="00657317" w:rsidRDefault="00657317" w:rsidP="00657317">
      <w:pPr>
        <w:numPr>
          <w:ilvl w:val="0"/>
          <w:numId w:val="8"/>
        </w:numPr>
        <w:spacing w:before="100" w:beforeAutospacing="1" w:after="100" w:afterAutospacing="1"/>
        <w:rPr>
          <w:rFonts w:ascii="Aptos" w:eastAsia="Times New Roman" w:hAnsi="Aptos" w:cs="Aptos"/>
        </w:rPr>
      </w:pPr>
      <w:r>
        <w:rPr>
          <w:rFonts w:ascii="Aptos" w:eastAsia="Times New Roman" w:hAnsi="Aptos" w:cs="Aptos"/>
        </w:rPr>
        <w:t>kein nicht veröffentlichtes Rohmaterial;</w:t>
      </w:r>
    </w:p>
    <w:p w14:paraId="226C1CCB" w14:textId="77777777" w:rsidR="00657317" w:rsidRDefault="00657317" w:rsidP="00657317">
      <w:pPr>
        <w:numPr>
          <w:ilvl w:val="0"/>
          <w:numId w:val="8"/>
        </w:numPr>
        <w:spacing w:before="100" w:beforeAutospacing="1" w:after="100" w:afterAutospacing="1"/>
        <w:rPr>
          <w:rFonts w:ascii="Aptos" w:eastAsia="Times New Roman" w:hAnsi="Aptos" w:cs="Aptos"/>
        </w:rPr>
      </w:pPr>
      <w:r>
        <w:rPr>
          <w:rFonts w:ascii="Aptos" w:eastAsia="Times New Roman" w:hAnsi="Aptos" w:cs="Aptos"/>
        </w:rPr>
        <w:t>gestufte Zugangsformen;</w:t>
      </w:r>
    </w:p>
    <w:p w14:paraId="289954AA" w14:textId="77777777" w:rsidR="00657317" w:rsidRDefault="00657317" w:rsidP="00657317">
      <w:pPr>
        <w:numPr>
          <w:ilvl w:val="0"/>
          <w:numId w:val="8"/>
        </w:numPr>
        <w:spacing w:before="100" w:beforeAutospacing="1" w:after="100" w:afterAutospacing="1"/>
        <w:rPr>
          <w:rFonts w:ascii="Aptos" w:eastAsia="Times New Roman" w:hAnsi="Aptos" w:cs="Aptos"/>
        </w:rPr>
      </w:pPr>
      <w:r>
        <w:rPr>
          <w:rFonts w:ascii="Aptos" w:eastAsia="Times New Roman" w:hAnsi="Aptos" w:cs="Aptos"/>
        </w:rPr>
        <w:t>Bereitschaft zu Schutz- und Vertraulichkeitsauflagen.</w:t>
      </w:r>
    </w:p>
    <w:p w14:paraId="1D51CB16" w14:textId="77777777" w:rsidR="00657317" w:rsidRDefault="00657317" w:rsidP="00657317">
      <w:pPr>
        <w:pStyle w:val="StandardWeb"/>
      </w:pPr>
      <w:r>
        <w:t>Die Datenkategorien sind konkret bezeichnet. Dazu gehören etwa Untertitel, vorhandene Transkripte, Titel, Ausstrahlungszeiten, Sendungsdauer, Segmentierung und technische Erschließungsdaten.</w:t>
      </w:r>
    </w:p>
    <w:p w14:paraId="65E8CFD9" w14:textId="77777777" w:rsidR="00657317" w:rsidRDefault="00657317" w:rsidP="00657317">
      <w:pPr>
        <w:pStyle w:val="berschrift2"/>
        <w:rPr>
          <w:rFonts w:eastAsia="Times New Roman"/>
        </w:rPr>
      </w:pPr>
      <w:r>
        <w:rPr>
          <w:rFonts w:eastAsia="Times New Roman"/>
        </w:rPr>
        <w:t>VI. Pflicht zur differenzierten Entscheidung</w:t>
      </w:r>
    </w:p>
    <w:p w14:paraId="2F7AB543" w14:textId="77777777" w:rsidR="00657317" w:rsidRDefault="00657317" w:rsidP="00657317">
      <w:pPr>
        <w:pStyle w:val="StandardWeb"/>
      </w:pPr>
      <w:r>
        <w:t>Die Beklagte darf technisch-bibliografische Informationen zu bereits veröffentlichten Programmen nicht ohne Weiteres mit vertraulichen redaktionellen Vorgängen gleichsetzen.</w:t>
      </w:r>
    </w:p>
    <w:p w14:paraId="1188A7BB" w14:textId="77777777" w:rsidR="00657317" w:rsidRDefault="00657317" w:rsidP="00657317">
      <w:pPr>
        <w:pStyle w:val="StandardWeb"/>
      </w:pPr>
      <w:r>
        <w:t>Zwischen folgenden Datenarten bestehen erhebliche Unterschiede:</w:t>
      </w:r>
    </w:p>
    <w:p w14:paraId="429762FC" w14:textId="77777777" w:rsidR="00657317" w:rsidRDefault="00657317" w:rsidP="00657317">
      <w:pPr>
        <w:numPr>
          <w:ilvl w:val="0"/>
          <w:numId w:val="9"/>
        </w:numPr>
        <w:spacing w:before="100" w:beforeAutospacing="1" w:after="100" w:afterAutospacing="1"/>
        <w:rPr>
          <w:rFonts w:ascii="Aptos" w:eastAsia="Times New Roman" w:hAnsi="Aptos" w:cs="Aptos"/>
        </w:rPr>
      </w:pPr>
      <w:r>
        <w:rPr>
          <w:rFonts w:ascii="Aptos" w:eastAsia="Times New Roman" w:hAnsi="Aptos" w:cs="Aptos"/>
        </w:rPr>
        <w:t>veröffentlichter Sendungsinhalt,</w:t>
      </w:r>
    </w:p>
    <w:p w14:paraId="44BD4446" w14:textId="77777777" w:rsidR="00657317" w:rsidRDefault="00657317" w:rsidP="00657317">
      <w:pPr>
        <w:numPr>
          <w:ilvl w:val="0"/>
          <w:numId w:val="9"/>
        </w:numPr>
        <w:spacing w:before="100" w:beforeAutospacing="1" w:after="100" w:afterAutospacing="1"/>
        <w:rPr>
          <w:rFonts w:ascii="Aptos" w:eastAsia="Times New Roman" w:hAnsi="Aptos" w:cs="Aptos"/>
        </w:rPr>
      </w:pPr>
      <w:r>
        <w:rPr>
          <w:rFonts w:ascii="Aptos" w:eastAsia="Times New Roman" w:hAnsi="Aptos" w:cs="Aptos"/>
        </w:rPr>
        <w:t>bibliografische Identifikationsdaten,</w:t>
      </w:r>
    </w:p>
    <w:p w14:paraId="2BF10C65" w14:textId="77777777" w:rsidR="00657317" w:rsidRDefault="00657317" w:rsidP="00657317">
      <w:pPr>
        <w:numPr>
          <w:ilvl w:val="0"/>
          <w:numId w:val="9"/>
        </w:numPr>
        <w:spacing w:before="100" w:beforeAutospacing="1" w:after="100" w:afterAutospacing="1"/>
        <w:rPr>
          <w:rFonts w:ascii="Aptos" w:eastAsia="Times New Roman" w:hAnsi="Aptos" w:cs="Aptos"/>
        </w:rPr>
      </w:pPr>
      <w:r>
        <w:rPr>
          <w:rFonts w:ascii="Aptos" w:eastAsia="Times New Roman" w:hAnsi="Aptos" w:cs="Aptos"/>
        </w:rPr>
        <w:t>technische Zeit- und Formatdaten,</w:t>
      </w:r>
    </w:p>
    <w:p w14:paraId="597545CC" w14:textId="77777777" w:rsidR="00657317" w:rsidRDefault="00657317" w:rsidP="00657317">
      <w:pPr>
        <w:numPr>
          <w:ilvl w:val="0"/>
          <w:numId w:val="9"/>
        </w:numPr>
        <w:spacing w:before="100" w:beforeAutospacing="1" w:after="100" w:afterAutospacing="1"/>
        <w:rPr>
          <w:rFonts w:ascii="Aptos" w:eastAsia="Times New Roman" w:hAnsi="Aptos" w:cs="Aptos"/>
        </w:rPr>
      </w:pPr>
      <w:r>
        <w:rPr>
          <w:rFonts w:ascii="Aptos" w:eastAsia="Times New Roman" w:hAnsi="Aptos" w:cs="Aptos"/>
        </w:rPr>
        <w:t>vorhandene Untertitel und Transkripte,</w:t>
      </w:r>
    </w:p>
    <w:p w14:paraId="03038B6A" w14:textId="77777777" w:rsidR="00657317" w:rsidRDefault="00657317" w:rsidP="00657317">
      <w:pPr>
        <w:numPr>
          <w:ilvl w:val="0"/>
          <w:numId w:val="9"/>
        </w:numPr>
        <w:spacing w:before="100" w:beforeAutospacing="1" w:after="100" w:afterAutospacing="1"/>
        <w:rPr>
          <w:rFonts w:ascii="Aptos" w:eastAsia="Times New Roman" w:hAnsi="Aptos" w:cs="Aptos"/>
        </w:rPr>
      </w:pPr>
      <w:r>
        <w:rPr>
          <w:rFonts w:ascii="Aptos" w:eastAsia="Times New Roman" w:hAnsi="Aptos" w:cs="Aptos"/>
        </w:rPr>
        <w:t>Archivsignaturen,</w:t>
      </w:r>
    </w:p>
    <w:p w14:paraId="3A080EFD" w14:textId="77777777" w:rsidR="00657317" w:rsidRDefault="00657317" w:rsidP="00657317">
      <w:pPr>
        <w:numPr>
          <w:ilvl w:val="0"/>
          <w:numId w:val="9"/>
        </w:numPr>
        <w:spacing w:before="100" w:beforeAutospacing="1" w:after="100" w:afterAutospacing="1"/>
        <w:rPr>
          <w:rFonts w:ascii="Aptos" w:eastAsia="Times New Roman" w:hAnsi="Aptos" w:cs="Aptos"/>
        </w:rPr>
      </w:pPr>
      <w:r>
        <w:rPr>
          <w:rFonts w:ascii="Aptos" w:eastAsia="Times New Roman" w:hAnsi="Aptos" w:cs="Aptos"/>
        </w:rPr>
        <w:t>interne redaktionelle Kommunikation,</w:t>
      </w:r>
    </w:p>
    <w:p w14:paraId="6233E391" w14:textId="77777777" w:rsidR="00657317" w:rsidRDefault="00657317" w:rsidP="00657317">
      <w:pPr>
        <w:numPr>
          <w:ilvl w:val="0"/>
          <w:numId w:val="9"/>
        </w:numPr>
        <w:spacing w:before="100" w:beforeAutospacing="1" w:after="100" w:afterAutospacing="1"/>
        <w:rPr>
          <w:rFonts w:ascii="Aptos" w:eastAsia="Times New Roman" w:hAnsi="Aptos" w:cs="Aptos"/>
        </w:rPr>
      </w:pPr>
      <w:r>
        <w:rPr>
          <w:rFonts w:ascii="Aptos" w:eastAsia="Times New Roman" w:hAnsi="Aptos" w:cs="Aptos"/>
        </w:rPr>
        <w:t>Quellenschutzinformationen.</w:t>
      </w:r>
    </w:p>
    <w:p w14:paraId="7BAE127B" w14:textId="77777777" w:rsidR="00657317" w:rsidRDefault="00657317" w:rsidP="00657317">
      <w:pPr>
        <w:pStyle w:val="StandardWeb"/>
      </w:pPr>
      <w:r>
        <w:t>Eine pauschale Ablehnung sämtlicher Kategorien ohne Einzelfallprüfung verfehlt diese Unterschiede.</w:t>
      </w:r>
    </w:p>
    <w:p w14:paraId="6007EC99" w14:textId="77777777" w:rsidR="00657317" w:rsidRDefault="00657317" w:rsidP="00657317">
      <w:pPr>
        <w:pStyle w:val="StandardWeb"/>
      </w:pPr>
      <w:r>
        <w:t>Die Beklagte muss daher zumindest prüfen, ob ein begrenzter Zugang unter Schutzauflagen möglich ist. Die vollständige Ablehnung ist nur dann verhältnismäßig, wenn auch mildere Mittel – Präsenzsichtung, Pilotzugang, Datenraum, reduzierte Metadaten oder Vertraulichkeitsvereinbarung – nicht ausreichen.</w:t>
      </w:r>
    </w:p>
    <w:p w14:paraId="2B0C836C" w14:textId="77777777" w:rsidR="00657317" w:rsidRDefault="00657317" w:rsidP="00657317">
      <w:pPr>
        <w:pStyle w:val="berschrift2"/>
        <w:rPr>
          <w:rFonts w:eastAsia="Times New Roman"/>
        </w:rPr>
      </w:pPr>
      <w:r>
        <w:rPr>
          <w:rFonts w:eastAsia="Times New Roman"/>
        </w:rPr>
        <w:t>VII. Wissenschaftlicher Zugangsanspruch und Selbstbindung</w:t>
      </w:r>
    </w:p>
    <w:p w14:paraId="1A1A97E9" w14:textId="77777777" w:rsidR="00657317" w:rsidRDefault="00657317" w:rsidP="00657317">
      <w:pPr>
        <w:pStyle w:val="StandardWeb"/>
      </w:pPr>
      <w:r>
        <w:t xml:space="preserve">Die öffentlich-rechtlichen Archive stellen sich selbst als Partner von Wissenschaft und Forschung dar. Die ARD erklärt, dass in jedem Rundfunkarchiv Ansprechpartner für </w:t>
      </w:r>
      <w:r>
        <w:lastRenderedPageBreak/>
        <w:t>wissenschaftliche Anfragen vorhanden sind; das DRA soll allgemeine oder anstaltsübergreifende Forschungsvorhaben koordinieren. (</w:t>
      </w:r>
      <w:hyperlink r:id="rId8" w:tooltip="Archive der ARD – Partner von Wissenschaft und Forschung" w:history="1">
        <w:r>
          <w:rPr>
            <w:rStyle w:val="Hyperlink"/>
          </w:rPr>
          <w:t>ard.de</w:t>
        </w:r>
      </w:hyperlink>
      <w:r>
        <w:t>)</w:t>
      </w:r>
    </w:p>
    <w:p w14:paraId="094278AD" w14:textId="77777777" w:rsidR="00657317" w:rsidRDefault="00657317" w:rsidP="00657317">
      <w:pPr>
        <w:pStyle w:val="StandardWeb"/>
      </w:pPr>
      <w:r>
        <w:t>Einzelne Archive beschreiben konkrete Zugangsmöglichkeiten. Das NDR-Archiv unterstützt etwa wissenschaftliche Forschungsprojekte und Abschlussarbeiten grundsätzlich. Das ARD-Hauptstadtstudio gewährt unter Beachtung seiner Primärzwecke Zugang für Wissenschaft und Forschung. (</w:t>
      </w:r>
      <w:hyperlink r:id="rId9" w:tooltip="Archiv – Norddeutscher Rundfunk (NDR) | ard.de" w:history="1">
        <w:r>
          <w:rPr>
            <w:rStyle w:val="Hyperlink"/>
          </w:rPr>
          <w:t>ard.de</w:t>
        </w:r>
      </w:hyperlink>
      <w:r>
        <w:t>)</w:t>
      </w:r>
    </w:p>
    <w:p w14:paraId="561C2CB5" w14:textId="77777777" w:rsidR="00657317" w:rsidRDefault="00657317" w:rsidP="00657317">
      <w:pPr>
        <w:pStyle w:val="StandardWeb"/>
      </w:pPr>
      <w:r>
        <w:t>Daraus folgt noch nicht automatisch ein schrankenloser Herausgabeanspruch. Es folgt aber jedenfalls, dass ein ernsthaftes, methodisch beschriebenes Forschungsvorhaben nicht mit einem formelhaften „wollen wir nicht, müssen wir nicht“ erledigt werden kann. Die Beklagte muss ihre eigenen Zugangsgrundsätze konsistent, sachgerecht und gleichheitsgerecht anwenden.</w:t>
      </w:r>
    </w:p>
    <w:p w14:paraId="11EC0DDF" w14:textId="77777777" w:rsidR="00657317" w:rsidRDefault="00657317" w:rsidP="00657317">
      <w:pPr>
        <w:pStyle w:val="berschrift2"/>
        <w:rPr>
          <w:rFonts w:eastAsia="Times New Roman"/>
        </w:rPr>
      </w:pPr>
      <w:r>
        <w:rPr>
          <w:rFonts w:eastAsia="Times New Roman"/>
        </w:rPr>
        <w:t>VIII. Effektiver Rechtsschutz</w:t>
      </w:r>
    </w:p>
    <w:p w14:paraId="27DCEFFE" w14:textId="77777777" w:rsidR="00657317" w:rsidRDefault="00657317" w:rsidP="00657317">
      <w:pPr>
        <w:pStyle w:val="StandardWeb"/>
      </w:pPr>
      <w:r>
        <w:t>Das Bundesverwaltungsgericht hat den Einwand eines strukturellen Vielfaltsdefizits nicht generell ausgeschlossen, zugleich aber hohe Anforderungen an die tatsächliche Darlegung gestellt. (</w:t>
      </w:r>
      <w:hyperlink r:id="rId10" w:tooltip="Pressemitteilung Nr. 80/2025 | Bundesverwaltungsgericht" w:history="1">
        <w:r>
          <w:rPr>
            <w:rStyle w:val="Hyperlink"/>
          </w:rPr>
          <w:t>Bundesverwaltungsgericht</w:t>
        </w:r>
      </w:hyperlink>
      <w:r>
        <w:t>)</w:t>
      </w:r>
    </w:p>
    <w:p w14:paraId="61EF9DCA" w14:textId="77777777" w:rsidR="00657317" w:rsidRDefault="00657317" w:rsidP="00657317">
      <w:pPr>
        <w:pStyle w:val="StandardWeb"/>
      </w:pPr>
      <w:r>
        <w:t>Gerade daraus ergibt sich die zentrale verfahrensrechtliche Frage:</w:t>
      </w:r>
    </w:p>
    <w:p w14:paraId="40854944" w14:textId="77777777" w:rsidR="00657317" w:rsidRDefault="00657317" w:rsidP="00657317">
      <w:pPr>
        <w:pStyle w:val="StandardWeb"/>
      </w:pPr>
      <w:r>
        <w:t>Darf die datenhaltende öffentlich-rechtliche Anstalt den wissenschaftlichen Zugang vollständig verweigern, obwohl die fachgerichtlich verlangte Analyse ohne stabile und reproduzierbare Programmdaten praktisch kaum möglich ist?</w:t>
      </w:r>
    </w:p>
    <w:p w14:paraId="54588B58" w14:textId="77777777" w:rsidR="00657317" w:rsidRDefault="00657317" w:rsidP="00657317">
      <w:pPr>
        <w:pStyle w:val="StandardWeb"/>
      </w:pPr>
      <w:r>
        <w:t>Der Kläger behauptet nicht, Art. 19 Abs. 4 GG begründe unmittelbar einen unbegrenzten Archivzugang. Er macht geltend, dass bei der Auslegung und Anwendung vorhandener Archiv-, Zugangs- und Entscheidungsspielräume berücksichtigt werden muss, ob andernfalls ein höchstrichterlich grundsätzlich eröffneter Einwand praktisch leerläuft.</w:t>
      </w:r>
    </w:p>
    <w:p w14:paraId="63E6A069" w14:textId="77777777" w:rsidR="00657317" w:rsidRDefault="00657317" w:rsidP="00657317">
      <w:pPr>
        <w:pStyle w:val="berschrift2"/>
        <w:rPr>
          <w:rFonts w:eastAsia="Times New Roman"/>
        </w:rPr>
      </w:pPr>
      <w:r>
        <w:rPr>
          <w:rFonts w:eastAsia="Times New Roman"/>
        </w:rPr>
        <w:t>IX. Anspruch auf Neubescheidung</w:t>
      </w:r>
    </w:p>
    <w:p w14:paraId="21A4B623" w14:textId="77777777" w:rsidR="00657317" w:rsidRDefault="00657317" w:rsidP="00657317">
      <w:pPr>
        <w:pStyle w:val="StandardWeb"/>
      </w:pPr>
      <w:r>
        <w:t>Selbst wenn das Gericht keinen unmittelbaren Anspruch auf die vollständig beantragte Zugangsform anerkennt, besteht jedenfalls ein Anspruch auf eine sachgerechte, differenzierte und ermessensfehlerfreie Entscheidung.</w:t>
      </w:r>
    </w:p>
    <w:p w14:paraId="46EC15F6" w14:textId="77777777" w:rsidR="00657317" w:rsidRDefault="00657317" w:rsidP="00657317">
      <w:pPr>
        <w:pStyle w:val="StandardWeb"/>
      </w:pPr>
      <w:r>
        <w:t>Die Beklagte hat insbesondere zu prüfen:</w:t>
      </w:r>
    </w:p>
    <w:p w14:paraId="6A134F83" w14:textId="77777777" w:rsidR="00657317" w:rsidRDefault="00657317" w:rsidP="00657317">
      <w:pPr>
        <w:numPr>
          <w:ilvl w:val="0"/>
          <w:numId w:val="10"/>
        </w:numPr>
        <w:spacing w:before="100" w:beforeAutospacing="1" w:after="100" w:afterAutospacing="1"/>
        <w:rPr>
          <w:rFonts w:ascii="Aptos" w:eastAsia="Times New Roman" w:hAnsi="Aptos" w:cs="Aptos"/>
        </w:rPr>
      </w:pPr>
      <w:r>
        <w:rPr>
          <w:rFonts w:ascii="Aptos" w:eastAsia="Times New Roman" w:hAnsi="Aptos" w:cs="Aptos"/>
        </w:rPr>
        <w:t>welche Bestände vorhanden sind;</w:t>
      </w:r>
    </w:p>
    <w:p w14:paraId="01DE49EF" w14:textId="77777777" w:rsidR="00657317" w:rsidRDefault="00657317" w:rsidP="00657317">
      <w:pPr>
        <w:numPr>
          <w:ilvl w:val="0"/>
          <w:numId w:val="10"/>
        </w:numPr>
        <w:spacing w:before="100" w:beforeAutospacing="1" w:after="100" w:afterAutospacing="1"/>
        <w:rPr>
          <w:rFonts w:ascii="Aptos" w:eastAsia="Times New Roman" w:hAnsi="Aptos" w:cs="Aptos"/>
        </w:rPr>
      </w:pPr>
      <w:r>
        <w:rPr>
          <w:rFonts w:ascii="Aptos" w:eastAsia="Times New Roman" w:hAnsi="Aptos" w:cs="Aptos"/>
        </w:rPr>
        <w:t>welche Daten bereits öffentlich oder wissenschaftlich zugänglich sind;</w:t>
      </w:r>
    </w:p>
    <w:p w14:paraId="47C6F42C" w14:textId="77777777" w:rsidR="00657317" w:rsidRDefault="00657317" w:rsidP="00657317">
      <w:pPr>
        <w:numPr>
          <w:ilvl w:val="0"/>
          <w:numId w:val="10"/>
        </w:numPr>
        <w:spacing w:before="100" w:beforeAutospacing="1" w:after="100" w:afterAutospacing="1"/>
        <w:rPr>
          <w:rFonts w:ascii="Aptos" w:eastAsia="Times New Roman" w:hAnsi="Aptos" w:cs="Aptos"/>
        </w:rPr>
      </w:pPr>
      <w:r>
        <w:rPr>
          <w:rFonts w:ascii="Aptos" w:eastAsia="Times New Roman" w:hAnsi="Aptos" w:cs="Aptos"/>
        </w:rPr>
        <w:t>welche Rechte Dritter konkret betroffen sind;</w:t>
      </w:r>
    </w:p>
    <w:p w14:paraId="3692051E" w14:textId="77777777" w:rsidR="00657317" w:rsidRDefault="00657317" w:rsidP="00657317">
      <w:pPr>
        <w:numPr>
          <w:ilvl w:val="0"/>
          <w:numId w:val="10"/>
        </w:numPr>
        <w:spacing w:before="100" w:beforeAutospacing="1" w:after="100" w:afterAutospacing="1"/>
        <w:rPr>
          <w:rFonts w:ascii="Aptos" w:eastAsia="Times New Roman" w:hAnsi="Aptos" w:cs="Aptos"/>
        </w:rPr>
      </w:pPr>
      <w:r>
        <w:rPr>
          <w:rFonts w:ascii="Aptos" w:eastAsia="Times New Roman" w:hAnsi="Aptos" w:cs="Aptos"/>
        </w:rPr>
        <w:t>ob eine Präsenzsichtung möglich ist;</w:t>
      </w:r>
    </w:p>
    <w:p w14:paraId="1ADB252B" w14:textId="77777777" w:rsidR="00657317" w:rsidRDefault="00657317" w:rsidP="00657317">
      <w:pPr>
        <w:numPr>
          <w:ilvl w:val="0"/>
          <w:numId w:val="10"/>
        </w:numPr>
        <w:spacing w:before="100" w:beforeAutospacing="1" w:after="100" w:afterAutospacing="1"/>
        <w:rPr>
          <w:rFonts w:ascii="Aptos" w:eastAsia="Times New Roman" w:hAnsi="Aptos" w:cs="Aptos"/>
        </w:rPr>
      </w:pPr>
      <w:r>
        <w:rPr>
          <w:rFonts w:ascii="Aptos" w:eastAsia="Times New Roman" w:hAnsi="Aptos" w:cs="Aptos"/>
        </w:rPr>
        <w:t>ob ein Pilotzugang möglich ist;</w:t>
      </w:r>
    </w:p>
    <w:p w14:paraId="642DB138" w14:textId="77777777" w:rsidR="00657317" w:rsidRDefault="00657317" w:rsidP="00657317">
      <w:pPr>
        <w:numPr>
          <w:ilvl w:val="0"/>
          <w:numId w:val="10"/>
        </w:numPr>
        <w:spacing w:before="100" w:beforeAutospacing="1" w:after="100" w:afterAutospacing="1"/>
        <w:rPr>
          <w:rFonts w:ascii="Aptos" w:eastAsia="Times New Roman" w:hAnsi="Aptos" w:cs="Aptos"/>
        </w:rPr>
      </w:pPr>
      <w:r>
        <w:rPr>
          <w:rFonts w:ascii="Aptos" w:eastAsia="Times New Roman" w:hAnsi="Aptos" w:cs="Aptos"/>
        </w:rPr>
        <w:t>ob technische und bibliografische Metadaten getrennt bereitgestellt werden können;</w:t>
      </w:r>
    </w:p>
    <w:p w14:paraId="47F49FF0" w14:textId="77777777" w:rsidR="00657317" w:rsidRDefault="00657317" w:rsidP="00657317">
      <w:pPr>
        <w:numPr>
          <w:ilvl w:val="0"/>
          <w:numId w:val="10"/>
        </w:numPr>
        <w:spacing w:before="100" w:beforeAutospacing="1" w:after="100" w:afterAutospacing="1"/>
        <w:rPr>
          <w:rFonts w:ascii="Aptos" w:eastAsia="Times New Roman" w:hAnsi="Aptos" w:cs="Aptos"/>
        </w:rPr>
      </w:pPr>
      <w:r>
        <w:rPr>
          <w:rFonts w:ascii="Aptos" w:eastAsia="Times New Roman" w:hAnsi="Aptos" w:cs="Aptos"/>
        </w:rPr>
        <w:t>ob Transkripte und Untertitel unter Zweckbindungsauflagen nutzbar sind;</w:t>
      </w:r>
    </w:p>
    <w:p w14:paraId="0EA897ED" w14:textId="77777777" w:rsidR="00657317" w:rsidRDefault="00657317" w:rsidP="00657317">
      <w:pPr>
        <w:numPr>
          <w:ilvl w:val="0"/>
          <w:numId w:val="10"/>
        </w:numPr>
        <w:spacing w:before="100" w:beforeAutospacing="1" w:after="100" w:afterAutospacing="1"/>
        <w:rPr>
          <w:rFonts w:ascii="Aptos" w:eastAsia="Times New Roman" w:hAnsi="Aptos" w:cs="Aptos"/>
        </w:rPr>
      </w:pPr>
      <w:r>
        <w:rPr>
          <w:rFonts w:ascii="Aptos" w:eastAsia="Times New Roman" w:hAnsi="Aptos" w:cs="Aptos"/>
        </w:rPr>
        <w:t>welche Kosten entstehen;</w:t>
      </w:r>
    </w:p>
    <w:p w14:paraId="74D91B7D" w14:textId="77777777" w:rsidR="00657317" w:rsidRDefault="00657317" w:rsidP="00657317">
      <w:pPr>
        <w:numPr>
          <w:ilvl w:val="0"/>
          <w:numId w:val="10"/>
        </w:numPr>
        <w:spacing w:before="100" w:beforeAutospacing="1" w:after="100" w:afterAutospacing="1"/>
        <w:rPr>
          <w:rFonts w:ascii="Aptos" w:eastAsia="Times New Roman" w:hAnsi="Aptos" w:cs="Aptos"/>
        </w:rPr>
      </w:pPr>
      <w:r>
        <w:rPr>
          <w:rFonts w:ascii="Aptos" w:eastAsia="Times New Roman" w:hAnsi="Aptos" w:cs="Aptos"/>
        </w:rPr>
        <w:lastRenderedPageBreak/>
        <w:t>welche Daten nicht bei ihr liegen;</w:t>
      </w:r>
    </w:p>
    <w:p w14:paraId="480073AF" w14:textId="77777777" w:rsidR="00657317" w:rsidRDefault="00657317" w:rsidP="00657317">
      <w:pPr>
        <w:numPr>
          <w:ilvl w:val="0"/>
          <w:numId w:val="10"/>
        </w:numPr>
        <w:spacing w:before="100" w:beforeAutospacing="1" w:after="100" w:afterAutospacing="1"/>
        <w:rPr>
          <w:rFonts w:ascii="Aptos" w:eastAsia="Times New Roman" w:hAnsi="Aptos" w:cs="Aptos"/>
        </w:rPr>
      </w:pPr>
      <w:r>
        <w:rPr>
          <w:rFonts w:ascii="Aptos" w:eastAsia="Times New Roman" w:hAnsi="Aptos" w:cs="Aptos"/>
        </w:rPr>
        <w:t>welche alternative Stelle zuständig ist.</w:t>
      </w:r>
    </w:p>
    <w:p w14:paraId="5462E25B" w14:textId="77777777" w:rsidR="00657317" w:rsidRDefault="00657317" w:rsidP="00657317">
      <w:pPr>
        <w:pStyle w:val="StandardWeb"/>
      </w:pPr>
      <w:r>
        <w:t>Eine Ablehnung ohne diese Prüfung ist jedenfalls rechtsfehlerhaft.</w:t>
      </w:r>
    </w:p>
    <w:p w14:paraId="70929878" w14:textId="77777777" w:rsidR="00657317" w:rsidRDefault="00657317" w:rsidP="00657317">
      <w:pPr>
        <w:pStyle w:val="berschrift2"/>
        <w:rPr>
          <w:rFonts w:eastAsia="Times New Roman"/>
        </w:rPr>
      </w:pPr>
      <w:r>
        <w:rPr>
          <w:rFonts w:eastAsia="Times New Roman"/>
        </w:rPr>
        <w:t>X. Sicherungsanspruch</w:t>
      </w:r>
    </w:p>
    <w:p w14:paraId="42F02483" w14:textId="77777777" w:rsidR="00657317" w:rsidRDefault="00657317" w:rsidP="00657317">
      <w:pPr>
        <w:pStyle w:val="StandardWeb"/>
      </w:pPr>
      <w:r>
        <w:t>Der Sicherungsantrag ist erforderlich, weil Programminhalte öffentlich depubliziert, Dateien migriert, Metadaten verändert oder Daten nach internen Fristen gelöscht werden können.</w:t>
      </w:r>
    </w:p>
    <w:p w14:paraId="11B5853E" w14:textId="77777777" w:rsidR="00657317" w:rsidRDefault="00657317" w:rsidP="00657317">
      <w:pPr>
        <w:pStyle w:val="StandardWeb"/>
      </w:pPr>
      <w:r>
        <w:t>Der Kläger verlangt keine dauerhafte, grenzenlose Archivierung. Er verlangt lediglich die vorübergehende Sicherung konkret bezeichneter vorhandener Daten, solange gerade über den Zugang zu diesen Daten gestritten wird.</w:t>
      </w:r>
    </w:p>
    <w:p w14:paraId="7BC55238" w14:textId="77777777" w:rsidR="00657317" w:rsidRDefault="00657317" w:rsidP="00657317">
      <w:pPr>
        <w:pStyle w:val="StandardWeb"/>
      </w:pPr>
      <w:r>
        <w:t>Sollte eine konkrete Löschung unmittelbar bevorstehen, wäre zusätzlich ein Antrag auf einstweilige Anordnung nach § 123 VwGO zu prüfen. Die VwGO sieht einstweiligen Rechtsschutz zur Sicherung von Rechten vor. (</w:t>
      </w:r>
      <w:hyperlink r:id="rId11" w:tooltip="VwGO - nichtamtliches Inhaltsverzeichnis - Gesetze im Internet" w:history="1">
        <w:r>
          <w:rPr>
            <w:rStyle w:val="Hyperlink"/>
          </w:rPr>
          <w:t>Gesetze im Internet</w:t>
        </w:r>
      </w:hyperlink>
      <w:r>
        <w:t>)</w:t>
      </w:r>
    </w:p>
    <w:p w14:paraId="5BF01F1C" w14:textId="77777777" w:rsidR="00657317" w:rsidRDefault="00657317" w:rsidP="00657317">
      <w:pPr>
        <w:pStyle w:val="berschrift2"/>
        <w:rPr>
          <w:rFonts w:eastAsia="Times New Roman"/>
        </w:rPr>
      </w:pPr>
      <w:r>
        <w:rPr>
          <w:rFonts w:eastAsia="Times New Roman"/>
        </w:rPr>
        <w:t>XI. Beweisanträge und gerichtliche Aufklärung</w:t>
      </w:r>
    </w:p>
    <w:p w14:paraId="25E65D40" w14:textId="77777777" w:rsidR="00657317" w:rsidRDefault="00657317" w:rsidP="00657317">
      <w:pPr>
        <w:pStyle w:val="StandardWeb"/>
      </w:pPr>
      <w:r>
        <w:t>Der Kläger regt an, der Beklagten aufzugeben, vorzulegen beziehungsweise mitzuteilen:</w:t>
      </w:r>
    </w:p>
    <w:p w14:paraId="11941F31" w14:textId="77777777" w:rsidR="00657317" w:rsidRDefault="00657317" w:rsidP="00657317">
      <w:pPr>
        <w:numPr>
          <w:ilvl w:val="0"/>
          <w:numId w:val="11"/>
        </w:numPr>
        <w:spacing w:before="100" w:beforeAutospacing="1" w:after="100" w:afterAutospacing="1"/>
        <w:rPr>
          <w:rFonts w:ascii="Aptos" w:eastAsia="Times New Roman" w:hAnsi="Aptos" w:cs="Aptos"/>
        </w:rPr>
      </w:pPr>
      <w:r>
        <w:rPr>
          <w:rFonts w:ascii="Aptos" w:eastAsia="Times New Roman" w:hAnsi="Aptos" w:cs="Aptos"/>
        </w:rPr>
        <w:t>die geltende Archiv- oder Benutzungsordnung;</w:t>
      </w:r>
    </w:p>
    <w:p w14:paraId="7A7D6474" w14:textId="77777777" w:rsidR="00657317" w:rsidRDefault="00657317" w:rsidP="00657317">
      <w:pPr>
        <w:numPr>
          <w:ilvl w:val="0"/>
          <w:numId w:val="11"/>
        </w:numPr>
        <w:spacing w:before="100" w:beforeAutospacing="1" w:after="100" w:afterAutospacing="1"/>
        <w:rPr>
          <w:rFonts w:ascii="Aptos" w:eastAsia="Times New Roman" w:hAnsi="Aptos" w:cs="Aptos"/>
        </w:rPr>
      </w:pPr>
      <w:r>
        <w:rPr>
          <w:rFonts w:ascii="Aptos" w:eastAsia="Times New Roman" w:hAnsi="Aptos" w:cs="Aptos"/>
        </w:rPr>
        <w:t>interne oder veröffentlichte Grundsätze für wissenschaftlichen Zugang;</w:t>
      </w:r>
    </w:p>
    <w:p w14:paraId="3783A52F" w14:textId="77777777" w:rsidR="00657317" w:rsidRDefault="00657317" w:rsidP="00657317">
      <w:pPr>
        <w:numPr>
          <w:ilvl w:val="0"/>
          <w:numId w:val="11"/>
        </w:numPr>
        <w:spacing w:before="100" w:beforeAutospacing="1" w:after="100" w:afterAutospacing="1"/>
        <w:rPr>
          <w:rFonts w:ascii="Aptos" w:eastAsia="Times New Roman" w:hAnsi="Aptos" w:cs="Aptos"/>
        </w:rPr>
      </w:pPr>
      <w:r>
        <w:rPr>
          <w:rFonts w:ascii="Aptos" w:eastAsia="Times New Roman" w:hAnsi="Aptos" w:cs="Aptos"/>
        </w:rPr>
        <w:t>die zuständigen Organisationseinheiten;</w:t>
      </w:r>
    </w:p>
    <w:p w14:paraId="5064DD41" w14:textId="77777777" w:rsidR="00657317" w:rsidRDefault="00657317" w:rsidP="00657317">
      <w:pPr>
        <w:numPr>
          <w:ilvl w:val="0"/>
          <w:numId w:val="11"/>
        </w:numPr>
        <w:spacing w:before="100" w:beforeAutospacing="1" w:after="100" w:afterAutospacing="1"/>
        <w:rPr>
          <w:rFonts w:ascii="Aptos" w:eastAsia="Times New Roman" w:hAnsi="Aptos" w:cs="Aptos"/>
        </w:rPr>
      </w:pPr>
      <w:r>
        <w:rPr>
          <w:rFonts w:ascii="Aptos" w:eastAsia="Times New Roman" w:hAnsi="Aptos" w:cs="Aptos"/>
        </w:rPr>
        <w:t>eine Übersicht der im beantragten Zeitraum vorhandenen Datenarten;</w:t>
      </w:r>
    </w:p>
    <w:p w14:paraId="4888F701" w14:textId="77777777" w:rsidR="00657317" w:rsidRDefault="00657317" w:rsidP="00657317">
      <w:pPr>
        <w:numPr>
          <w:ilvl w:val="0"/>
          <w:numId w:val="11"/>
        </w:numPr>
        <w:spacing w:before="100" w:beforeAutospacing="1" w:after="100" w:afterAutospacing="1"/>
        <w:rPr>
          <w:rFonts w:ascii="Aptos" w:eastAsia="Times New Roman" w:hAnsi="Aptos" w:cs="Aptos"/>
        </w:rPr>
      </w:pPr>
      <w:r>
        <w:rPr>
          <w:rFonts w:ascii="Aptos" w:eastAsia="Times New Roman" w:hAnsi="Aptos" w:cs="Aptos"/>
        </w:rPr>
        <w:t>die Aufbewahrungs- und Löschfristen;</w:t>
      </w:r>
    </w:p>
    <w:p w14:paraId="4978CCE3" w14:textId="77777777" w:rsidR="00657317" w:rsidRDefault="00657317" w:rsidP="00657317">
      <w:pPr>
        <w:numPr>
          <w:ilvl w:val="0"/>
          <w:numId w:val="11"/>
        </w:numPr>
        <w:spacing w:before="100" w:beforeAutospacing="1" w:after="100" w:afterAutospacing="1"/>
        <w:rPr>
          <w:rFonts w:ascii="Aptos" w:eastAsia="Times New Roman" w:hAnsi="Aptos" w:cs="Aptos"/>
        </w:rPr>
      </w:pPr>
      <w:r>
        <w:rPr>
          <w:rFonts w:ascii="Aptos" w:eastAsia="Times New Roman" w:hAnsi="Aptos" w:cs="Aptos"/>
        </w:rPr>
        <w:t>die technisch möglichen Zugangsformen;</w:t>
      </w:r>
    </w:p>
    <w:p w14:paraId="3A58ED0B" w14:textId="77777777" w:rsidR="00657317" w:rsidRDefault="00657317" w:rsidP="00657317">
      <w:pPr>
        <w:numPr>
          <w:ilvl w:val="0"/>
          <w:numId w:val="11"/>
        </w:numPr>
        <w:spacing w:before="100" w:beforeAutospacing="1" w:after="100" w:afterAutospacing="1"/>
        <w:rPr>
          <w:rFonts w:ascii="Aptos" w:eastAsia="Times New Roman" w:hAnsi="Aptos" w:cs="Aptos"/>
        </w:rPr>
      </w:pPr>
      <w:r>
        <w:rPr>
          <w:rFonts w:ascii="Aptos" w:eastAsia="Times New Roman" w:hAnsi="Aptos" w:cs="Aptos"/>
        </w:rPr>
        <w:t>anonymisierte Beispiele vergleichbarer wissenschaftlicher Nutzungen;</w:t>
      </w:r>
    </w:p>
    <w:p w14:paraId="008A8AE7" w14:textId="77777777" w:rsidR="00657317" w:rsidRDefault="00657317" w:rsidP="00657317">
      <w:pPr>
        <w:numPr>
          <w:ilvl w:val="0"/>
          <w:numId w:val="11"/>
        </w:numPr>
        <w:spacing w:before="100" w:beforeAutospacing="1" w:after="100" w:afterAutospacing="1"/>
        <w:rPr>
          <w:rFonts w:ascii="Aptos" w:eastAsia="Times New Roman" w:hAnsi="Aptos" w:cs="Aptos"/>
        </w:rPr>
      </w:pPr>
      <w:r>
        <w:rPr>
          <w:rFonts w:ascii="Aptos" w:eastAsia="Times New Roman" w:hAnsi="Aptos" w:cs="Aptos"/>
        </w:rPr>
        <w:t>die Gründe, weshalb ein Pilot- oder Präsenzzugang nicht möglich sein soll;</w:t>
      </w:r>
    </w:p>
    <w:p w14:paraId="5DFF7378" w14:textId="77777777" w:rsidR="00657317" w:rsidRDefault="00657317" w:rsidP="00657317">
      <w:pPr>
        <w:numPr>
          <w:ilvl w:val="0"/>
          <w:numId w:val="11"/>
        </w:numPr>
        <w:spacing w:before="100" w:beforeAutospacing="1" w:after="100" w:afterAutospacing="1"/>
        <w:rPr>
          <w:rFonts w:ascii="Aptos" w:eastAsia="Times New Roman" w:hAnsi="Aptos" w:cs="Aptos"/>
        </w:rPr>
      </w:pPr>
      <w:r>
        <w:rPr>
          <w:rFonts w:ascii="Aptos" w:eastAsia="Times New Roman" w:hAnsi="Aptos" w:cs="Aptos"/>
        </w:rPr>
        <w:t>die konkret betroffenen Rechte Dritter;</w:t>
      </w:r>
    </w:p>
    <w:p w14:paraId="2BFD9B3D" w14:textId="77777777" w:rsidR="00657317" w:rsidRDefault="00657317" w:rsidP="00657317">
      <w:pPr>
        <w:numPr>
          <w:ilvl w:val="0"/>
          <w:numId w:val="11"/>
        </w:numPr>
        <w:spacing w:before="100" w:beforeAutospacing="1" w:after="100" w:afterAutospacing="1"/>
        <w:rPr>
          <w:rFonts w:ascii="Aptos" w:eastAsia="Times New Roman" w:hAnsi="Aptos" w:cs="Aptos"/>
        </w:rPr>
      </w:pPr>
      <w:r>
        <w:rPr>
          <w:rFonts w:ascii="Aptos" w:eastAsia="Times New Roman" w:hAnsi="Aptos" w:cs="Aptos"/>
        </w:rPr>
        <w:t>die Erwägungen, die zur Ablehnung geführt haben.</w:t>
      </w:r>
    </w:p>
    <w:p w14:paraId="3B392D88" w14:textId="77777777" w:rsidR="00657317" w:rsidRDefault="00657317" w:rsidP="00657317">
      <w:pPr>
        <w:pStyle w:val="StandardWeb"/>
      </w:pPr>
      <w:r>
        <w:t>Das Gericht erforscht nach § 86 VwGO den Sachverhalt von Amts wegen. Die Frage, welche Bestände vorhanden und welche Zugangsmöglichkeiten technisch möglich sind, liegt ausschließlich in der Erkenntnissphäre der Beklagten.</w:t>
      </w:r>
    </w:p>
    <w:p w14:paraId="1B9480FE" w14:textId="77777777" w:rsidR="00657317" w:rsidRDefault="00657317" w:rsidP="00657317">
      <w:pPr>
        <w:pStyle w:val="berschrift1"/>
        <w:rPr>
          <w:rFonts w:eastAsia="Times New Roman"/>
        </w:rPr>
      </w:pPr>
      <w:r>
        <w:rPr>
          <w:rFonts w:eastAsia="Times New Roman"/>
        </w:rPr>
        <w:t>Was wahrscheinlich passieren wird</w:t>
      </w:r>
    </w:p>
    <w:p w14:paraId="2B2547CC" w14:textId="77777777" w:rsidR="00657317" w:rsidRDefault="00657317" w:rsidP="00657317">
      <w:pPr>
        <w:pStyle w:val="StandardWeb"/>
      </w:pPr>
      <w:r>
        <w:t>Die Anstalten werden voraussichtlich mit unterschiedlichen Linien reagieren:</w:t>
      </w:r>
    </w:p>
    <w:p w14:paraId="50402770" w14:textId="77777777" w:rsidR="00657317" w:rsidRDefault="00657317" w:rsidP="00657317">
      <w:pPr>
        <w:numPr>
          <w:ilvl w:val="0"/>
          <w:numId w:val="12"/>
        </w:numPr>
        <w:spacing w:before="100" w:beforeAutospacing="1" w:after="100" w:afterAutospacing="1"/>
        <w:rPr>
          <w:rFonts w:ascii="Aptos" w:eastAsia="Times New Roman" w:hAnsi="Aptos" w:cs="Aptos"/>
        </w:rPr>
      </w:pPr>
      <w:r>
        <w:rPr>
          <w:rFonts w:ascii="Aptos" w:eastAsia="Times New Roman" w:hAnsi="Aptos" w:cs="Aptos"/>
        </w:rPr>
        <w:t>Es gebe keinen subjektiven Rechtsanspruch.</w:t>
      </w:r>
    </w:p>
    <w:p w14:paraId="4835D4B8" w14:textId="77777777" w:rsidR="00657317" w:rsidRDefault="00657317" w:rsidP="00657317">
      <w:pPr>
        <w:numPr>
          <w:ilvl w:val="0"/>
          <w:numId w:val="12"/>
        </w:numPr>
        <w:spacing w:before="100" w:beforeAutospacing="1" w:after="100" w:afterAutospacing="1"/>
        <w:rPr>
          <w:rFonts w:ascii="Aptos" w:eastAsia="Times New Roman" w:hAnsi="Aptos" w:cs="Aptos"/>
        </w:rPr>
      </w:pPr>
      <w:r>
        <w:rPr>
          <w:rFonts w:ascii="Aptos" w:eastAsia="Times New Roman" w:hAnsi="Aptos" w:cs="Aptos"/>
        </w:rPr>
        <w:t>Die Kläger seien keine anerkannten Wissenschaftler.</w:t>
      </w:r>
    </w:p>
    <w:p w14:paraId="542E794C" w14:textId="77777777" w:rsidR="00657317" w:rsidRDefault="00657317" w:rsidP="00657317">
      <w:pPr>
        <w:numPr>
          <w:ilvl w:val="0"/>
          <w:numId w:val="12"/>
        </w:numPr>
        <w:spacing w:before="100" w:beforeAutospacing="1" w:after="100" w:afterAutospacing="1"/>
        <w:rPr>
          <w:rFonts w:ascii="Aptos" w:eastAsia="Times New Roman" w:hAnsi="Aptos" w:cs="Aptos"/>
        </w:rPr>
      </w:pPr>
      <w:r>
        <w:rPr>
          <w:rFonts w:ascii="Aptos" w:eastAsia="Times New Roman" w:hAnsi="Aptos" w:cs="Aptos"/>
        </w:rPr>
        <w:t>Die Anfrage sei zu groß.</w:t>
      </w:r>
    </w:p>
    <w:p w14:paraId="15F04C60" w14:textId="77777777" w:rsidR="00657317" w:rsidRDefault="00657317" w:rsidP="00657317">
      <w:pPr>
        <w:numPr>
          <w:ilvl w:val="0"/>
          <w:numId w:val="12"/>
        </w:numPr>
        <w:spacing w:before="100" w:beforeAutospacing="1" w:after="100" w:afterAutospacing="1"/>
        <w:rPr>
          <w:rFonts w:ascii="Aptos" w:eastAsia="Times New Roman" w:hAnsi="Aptos" w:cs="Aptos"/>
        </w:rPr>
      </w:pPr>
      <w:r>
        <w:rPr>
          <w:rFonts w:ascii="Aptos" w:eastAsia="Times New Roman" w:hAnsi="Aptos" w:cs="Aptos"/>
        </w:rPr>
        <w:t>Die Archive dienten primär internen Zwecken.</w:t>
      </w:r>
    </w:p>
    <w:p w14:paraId="3EAECAB4" w14:textId="77777777" w:rsidR="00657317" w:rsidRDefault="00657317" w:rsidP="00657317">
      <w:pPr>
        <w:numPr>
          <w:ilvl w:val="0"/>
          <w:numId w:val="12"/>
        </w:numPr>
        <w:spacing w:before="100" w:beforeAutospacing="1" w:after="100" w:afterAutospacing="1"/>
        <w:rPr>
          <w:rFonts w:ascii="Aptos" w:eastAsia="Times New Roman" w:hAnsi="Aptos" w:cs="Aptos"/>
        </w:rPr>
      </w:pPr>
      <w:r>
        <w:rPr>
          <w:rFonts w:ascii="Aptos" w:eastAsia="Times New Roman" w:hAnsi="Aptos" w:cs="Aptos"/>
        </w:rPr>
        <w:t>Urheber- und Leistungsschutzrechte stünden entgegen.</w:t>
      </w:r>
    </w:p>
    <w:p w14:paraId="52A32E56" w14:textId="77777777" w:rsidR="00657317" w:rsidRDefault="00657317" w:rsidP="00657317">
      <w:pPr>
        <w:numPr>
          <w:ilvl w:val="0"/>
          <w:numId w:val="12"/>
        </w:numPr>
        <w:spacing w:before="100" w:beforeAutospacing="1" w:after="100" w:afterAutospacing="1"/>
        <w:rPr>
          <w:rFonts w:ascii="Aptos" w:eastAsia="Times New Roman" w:hAnsi="Aptos" w:cs="Aptos"/>
        </w:rPr>
      </w:pPr>
      <w:r>
        <w:rPr>
          <w:rFonts w:ascii="Aptos" w:eastAsia="Times New Roman" w:hAnsi="Aptos" w:cs="Aptos"/>
        </w:rPr>
        <w:lastRenderedPageBreak/>
        <w:t>Der journalistisch-redaktionelle Bereich sei geschützt.</w:t>
      </w:r>
    </w:p>
    <w:p w14:paraId="59357601" w14:textId="77777777" w:rsidR="00657317" w:rsidRDefault="00657317" w:rsidP="00657317">
      <w:pPr>
        <w:numPr>
          <w:ilvl w:val="0"/>
          <w:numId w:val="12"/>
        </w:numPr>
        <w:spacing w:before="100" w:beforeAutospacing="1" w:after="100" w:afterAutospacing="1"/>
        <w:rPr>
          <w:rFonts w:ascii="Aptos" w:eastAsia="Times New Roman" w:hAnsi="Aptos" w:cs="Aptos"/>
        </w:rPr>
      </w:pPr>
      <w:r>
        <w:rPr>
          <w:rFonts w:ascii="Aptos" w:eastAsia="Times New Roman" w:hAnsi="Aptos" w:cs="Aptos"/>
        </w:rPr>
        <w:t>Metadaten oder Transkripte existierten nicht vollständig.</w:t>
      </w:r>
    </w:p>
    <w:p w14:paraId="72FCD941" w14:textId="77777777" w:rsidR="00657317" w:rsidRDefault="00657317" w:rsidP="00657317">
      <w:pPr>
        <w:numPr>
          <w:ilvl w:val="0"/>
          <w:numId w:val="12"/>
        </w:numPr>
        <w:spacing w:before="100" w:beforeAutospacing="1" w:after="100" w:afterAutospacing="1"/>
        <w:rPr>
          <w:rFonts w:ascii="Aptos" w:eastAsia="Times New Roman" w:hAnsi="Aptos" w:cs="Aptos"/>
        </w:rPr>
      </w:pPr>
      <w:r>
        <w:rPr>
          <w:rFonts w:ascii="Aptos" w:eastAsia="Times New Roman" w:hAnsi="Aptos" w:cs="Aptos"/>
        </w:rPr>
        <w:t>Der Aufwand sei unverhältnismäßig.</w:t>
      </w:r>
    </w:p>
    <w:p w14:paraId="69278B19" w14:textId="77777777" w:rsidR="00657317" w:rsidRDefault="00657317" w:rsidP="00657317">
      <w:pPr>
        <w:numPr>
          <w:ilvl w:val="0"/>
          <w:numId w:val="12"/>
        </w:numPr>
        <w:spacing w:before="100" w:beforeAutospacing="1" w:after="100" w:afterAutospacing="1"/>
        <w:rPr>
          <w:rFonts w:ascii="Aptos" w:eastAsia="Times New Roman" w:hAnsi="Aptos" w:cs="Aptos"/>
        </w:rPr>
      </w:pPr>
      <w:r>
        <w:rPr>
          <w:rFonts w:ascii="Aptos" w:eastAsia="Times New Roman" w:hAnsi="Aptos" w:cs="Aptos"/>
        </w:rPr>
        <w:t>Eine massenhafte Antragstellung sei rechtsmissbräuchlich.</w:t>
      </w:r>
    </w:p>
    <w:p w14:paraId="2D101AEB" w14:textId="77777777" w:rsidR="00657317" w:rsidRDefault="00657317" w:rsidP="00657317">
      <w:pPr>
        <w:pStyle w:val="StandardWeb"/>
      </w:pPr>
      <w:r>
        <w:t>Darauf muss die Klage vorbereitet sein.</w:t>
      </w:r>
    </w:p>
    <w:p w14:paraId="5DE5853B" w14:textId="77777777" w:rsidR="00657317" w:rsidRDefault="00657317" w:rsidP="00657317">
      <w:pPr>
        <w:pStyle w:val="berschrift2"/>
        <w:rPr>
          <w:rFonts w:eastAsia="Times New Roman"/>
        </w:rPr>
      </w:pPr>
      <w:r>
        <w:rPr>
          <w:rFonts w:eastAsia="Times New Roman"/>
        </w:rPr>
        <w:t>Das größte Risiko: fehlende wissenschaftliche Eigenbetroffenheit</w:t>
      </w:r>
    </w:p>
    <w:p w14:paraId="49351CCC" w14:textId="77777777" w:rsidR="00657317" w:rsidRDefault="00657317" w:rsidP="00657317">
      <w:pPr>
        <w:pStyle w:val="StandardWeb"/>
      </w:pPr>
      <w:r>
        <w:t xml:space="preserve">Wenn hunderte Bürger identische Anträge stellen, obwohl tatsächlich nur </w:t>
      </w:r>
      <w:r>
        <w:rPr>
          <w:rStyle w:val="Fett"/>
        </w:rPr>
        <w:t>ein</w:t>
      </w:r>
      <w:r>
        <w:t xml:space="preserve"> Institut die Untersuchung durchführen soll, werden die Anstalten und Gerichte fragen:</w:t>
      </w:r>
    </w:p>
    <w:p w14:paraId="159E9B53" w14:textId="77777777" w:rsidR="00657317" w:rsidRDefault="00657317" w:rsidP="00657317">
      <w:pPr>
        <w:pStyle w:val="StandardWeb"/>
      </w:pPr>
      <w:r>
        <w:t>Warum benötigt jeder einzelne Kläger einen eigenen vollständigen Archivzugang?</w:t>
      </w:r>
    </w:p>
    <w:p w14:paraId="00B97122" w14:textId="77777777" w:rsidR="00657317" w:rsidRDefault="00657317" w:rsidP="00657317">
      <w:pPr>
        <w:pStyle w:val="StandardWeb"/>
      </w:pPr>
      <w:r>
        <w:t>Das ist ein ernstes Problem.</w:t>
      </w:r>
    </w:p>
    <w:p w14:paraId="6535DEBF" w14:textId="77777777" w:rsidR="00657317" w:rsidRDefault="00657317" w:rsidP="00657317">
      <w:pPr>
        <w:pStyle w:val="StandardWeb"/>
      </w:pPr>
      <w:r>
        <w:t>Darum würde ich die Anträge und Klagen nicht so führen, als wolle jeder Bürger persönlich zwei Jahre Rundfunkprogramm analysieren. Jeder Kläger sollte erklären:</w:t>
      </w:r>
    </w:p>
    <w:p w14:paraId="5EAF2478" w14:textId="77777777" w:rsidR="00657317" w:rsidRDefault="00657317" w:rsidP="00657317">
      <w:pPr>
        <w:pStyle w:val="StandardWeb"/>
      </w:pPr>
      <w:r>
        <w:t>Der Zugang soll durch den zentral benannten wissenschaftlichen Projektträger wahrgenommen werden; der Kläger macht als Beitragspflichtiger die Ermöglichung dieses konkreten, gemeinschaftlich getragenen Forschungsvorhabens geltend.</w:t>
      </w:r>
    </w:p>
    <w:p w14:paraId="00170828" w14:textId="77777777" w:rsidR="00657317" w:rsidRDefault="00657317" w:rsidP="00657317">
      <w:pPr>
        <w:pStyle w:val="StandardWeb"/>
      </w:pPr>
      <w:r>
        <w:t xml:space="preserve">Noch robuster wäre, wenn das wissenschaftliche Institut, ein Verein oder eine Stiftung </w:t>
      </w:r>
      <w:r>
        <w:rPr>
          <w:rStyle w:val="Fett"/>
        </w:rPr>
        <w:t>selbst</w:t>
      </w:r>
      <w:r>
        <w:t xml:space="preserve"> als Antragsteller und Kläger auftritt. Denn die Archive knüpfen ihren Zugang häufig gerade an wissenschaftliche Projekte oder Institutionen. Das DRA-Kontaktformular fragt ausdrücklich nach der Institution. (</w:t>
      </w:r>
      <w:hyperlink r:id="rId12" w:tooltip="ARD-Archivkontakt: Anfragen aus Wissenschaft und Forschung an die ..." w:history="1">
        <w:r>
          <w:rPr>
            <w:rStyle w:val="Hyperlink"/>
          </w:rPr>
          <w:t>Archivkontakt</w:t>
        </w:r>
      </w:hyperlink>
      <w:r>
        <w:t>)</w:t>
      </w:r>
    </w:p>
    <w:p w14:paraId="0EA0A3FA" w14:textId="77777777" w:rsidR="00657317" w:rsidRDefault="00657317" w:rsidP="00657317">
      <w:pPr>
        <w:pStyle w:val="berschrift1"/>
        <w:rPr>
          <w:rFonts w:eastAsia="Times New Roman"/>
        </w:rPr>
      </w:pPr>
      <w:r>
        <w:rPr>
          <w:rFonts w:eastAsia="Times New Roman"/>
        </w:rPr>
        <w:t>Meine klare Empfehlung zur Skalierung</w:t>
      </w:r>
    </w:p>
    <w:p w14:paraId="43BF5F33" w14:textId="77777777" w:rsidR="00657317" w:rsidRDefault="00657317" w:rsidP="00657317">
      <w:pPr>
        <w:pStyle w:val="StandardWeb"/>
      </w:pPr>
      <w:r>
        <w:t>Nicht 50 identische Vollzugangsklagen desselben Zuschnitts ohne Differenzierung.</w:t>
      </w:r>
    </w:p>
    <w:p w14:paraId="1FB4038F" w14:textId="77777777" w:rsidR="00657317" w:rsidRDefault="00657317" w:rsidP="00657317">
      <w:pPr>
        <w:pStyle w:val="StandardWeb"/>
      </w:pPr>
      <w:r>
        <w:t>Sondern drei koordinierte Klägertypen:</w:t>
      </w:r>
    </w:p>
    <w:p w14:paraId="57F95905" w14:textId="77777777" w:rsidR="00657317" w:rsidRDefault="00657317" w:rsidP="00657317">
      <w:pPr>
        <w:pStyle w:val="berschrift3"/>
        <w:rPr>
          <w:rFonts w:eastAsia="Times New Roman"/>
        </w:rPr>
      </w:pPr>
      <w:r>
        <w:rPr>
          <w:rFonts w:eastAsia="Times New Roman"/>
        </w:rPr>
        <w:t>Typ A – Wissenschaftlicher Projektträger</w:t>
      </w:r>
    </w:p>
    <w:p w14:paraId="13D8E704" w14:textId="77777777" w:rsidR="00657317" w:rsidRDefault="00657317" w:rsidP="00657317">
      <w:pPr>
        <w:pStyle w:val="StandardWeb"/>
      </w:pPr>
      <w:r>
        <w:t>Ein Institut, Verein oder eine Stiftung beantragt den eigentlichen Forschungszugang.</w:t>
      </w:r>
    </w:p>
    <w:p w14:paraId="032341E6" w14:textId="77777777" w:rsidR="00657317" w:rsidRDefault="00657317" w:rsidP="00657317">
      <w:pPr>
        <w:pStyle w:val="berschrift3"/>
        <w:rPr>
          <w:rFonts w:eastAsia="Times New Roman"/>
        </w:rPr>
      </w:pPr>
      <w:r>
        <w:rPr>
          <w:rFonts w:eastAsia="Times New Roman"/>
        </w:rPr>
        <w:t>Typ B – Beitragspflichtige Kläger</w:t>
      </w:r>
    </w:p>
    <w:p w14:paraId="7AA3C5EE" w14:textId="77777777" w:rsidR="00657317" w:rsidRDefault="00657317" w:rsidP="00657317">
      <w:pPr>
        <w:pStyle w:val="StandardWeb"/>
      </w:pPr>
      <w:r>
        <w:t>Sie beantragen die Feststellung beziehungsweise Mitwirkung, dass die Anstalt den zentralen Projektträger nicht ohne differenzierte Prüfung ausschließen darf.</w:t>
      </w:r>
    </w:p>
    <w:p w14:paraId="77ED3033" w14:textId="77777777" w:rsidR="00657317" w:rsidRDefault="00657317" w:rsidP="00657317">
      <w:pPr>
        <w:pStyle w:val="berschrift3"/>
        <w:rPr>
          <w:rFonts w:eastAsia="Times New Roman"/>
        </w:rPr>
      </w:pPr>
      <w:r>
        <w:rPr>
          <w:rFonts w:eastAsia="Times New Roman"/>
        </w:rPr>
        <w:t>Typ C – Sicherungskläger</w:t>
      </w:r>
    </w:p>
    <w:p w14:paraId="615F0525" w14:textId="77777777" w:rsidR="00657317" w:rsidRDefault="00657317" w:rsidP="00657317">
      <w:pPr>
        <w:pStyle w:val="StandardWeb"/>
      </w:pPr>
      <w:r>
        <w:t>Ausgewählte Kläger beantragen einstweiligen Rechtsschutz, wenn konkrete Datenverluste oder Löschungen drohen.</w:t>
      </w:r>
    </w:p>
    <w:p w14:paraId="15553695" w14:textId="77777777" w:rsidR="00657317" w:rsidRDefault="00657317" w:rsidP="00657317">
      <w:pPr>
        <w:pStyle w:val="StandardWeb"/>
      </w:pPr>
      <w:r>
        <w:lastRenderedPageBreak/>
        <w:t>Das vermeidet den Einwand, hunderte Bürger verlangten jeweils denselben kompletten Datenbestand nur zur Erzeugung von Prozessen.</w:t>
      </w:r>
    </w:p>
    <w:p w14:paraId="011BB951" w14:textId="77777777" w:rsidR="00657317" w:rsidRDefault="00657317" w:rsidP="00657317">
      <w:pPr>
        <w:pStyle w:val="berschrift2"/>
        <w:rPr>
          <w:rFonts w:eastAsia="Times New Roman"/>
        </w:rPr>
      </w:pPr>
      <w:r>
        <w:rPr>
          <w:rFonts w:eastAsia="Times New Roman"/>
        </w:rPr>
        <w:t>Das Ergebnis, das ihr für Leipzig braucht</w:t>
      </w:r>
    </w:p>
    <w:p w14:paraId="1FA0FAF8" w14:textId="77777777" w:rsidR="00657317" w:rsidRDefault="00657317" w:rsidP="00657317">
      <w:pPr>
        <w:pStyle w:val="StandardWeb"/>
      </w:pPr>
      <w:r>
        <w:t>Der ideale Revisionsfall lautet nicht:</w:t>
      </w:r>
    </w:p>
    <w:p w14:paraId="7DC8CBD1" w14:textId="77777777" w:rsidR="00657317" w:rsidRDefault="00657317" w:rsidP="00657317">
      <w:pPr>
        <w:pStyle w:val="StandardWeb"/>
      </w:pPr>
      <w:r>
        <w:t>„Hundert Bürger wollten dieselben Videos und wurden abgewiesen.“</w:t>
      </w:r>
    </w:p>
    <w:p w14:paraId="1B400076" w14:textId="77777777" w:rsidR="00657317" w:rsidRDefault="00657317" w:rsidP="00657317">
      <w:pPr>
        <w:pStyle w:val="StandardWeb"/>
      </w:pPr>
      <w:r>
        <w:t>Sondern:</w:t>
      </w:r>
    </w:p>
    <w:p w14:paraId="015E5D67" w14:textId="77777777" w:rsidR="00657317" w:rsidRDefault="00657317" w:rsidP="00657317">
      <w:pPr>
        <w:pStyle w:val="StandardWeb"/>
      </w:pPr>
      <w:r>
        <w:t>„Ein konkret benanntes, fachlich qualifiziertes Forschungsvorhaben beantragte einen abgestuften, geschützten Zugang. Fünfzig Beitragspflichtige unterstützten dieses Projekt in ihren jeweiligen Rechtsverhältnissen. Die Anstalten verweigerten nicht nur die Herausgabe, sondern auch Bestandsauskunft, Pilotzugang, Präsenzsichtung, Schutzmodelle und Neubescheidung. Die Verwaltungsgerichte bestätigten dies, obwohl sie gleichzeitig einen wissenschaftlichen Vollnachweis verlangen.“</w:t>
      </w:r>
    </w:p>
    <w:p w14:paraId="1C31E42E" w14:textId="77777777" w:rsidR="00657317" w:rsidRDefault="00657317" w:rsidP="00657317">
      <w:pPr>
        <w:pStyle w:val="StandardWeb"/>
      </w:pPr>
      <w:r>
        <w:rPr>
          <w:rStyle w:val="Fett"/>
        </w:rPr>
        <w:t>Das ist der Fall, den man zum Bundesverwaltungsgericht tragen kann.</w:t>
      </w:r>
      <w:r>
        <w:t xml:space="preserve"> Er ist eng, konkret und revisionsfähig. Und er dokumentiert genau den Zirkelschluss, den das V-Gutachten beschreibt: wissenschaftlicher Nachweis verlangt, wissenschaftlicher Zugang aber verweigert.</w:t>
      </w:r>
    </w:p>
    <w:p w14:paraId="410B6F2F" w14:textId="77777777" w:rsidR="00657317" w:rsidRDefault="00657317" w:rsidP="00657317">
      <w:pPr>
        <w:rPr>
          <w:lang w:eastAsia="en-US"/>
        </w:rPr>
      </w:pPr>
      <w:r>
        <w:rPr>
          <w:rFonts w:ascii="Open Sans" w:hAnsi="Open Sans" w:cs="Open Sans"/>
          <w:sz w:val="22"/>
          <w:szCs w:val="22"/>
          <w:lang w:eastAsia="en-US"/>
        </w:rPr>
        <w:t> </w:t>
      </w:r>
    </w:p>
    <w:p w14:paraId="67302B76" w14:textId="77777777" w:rsidR="00A43773" w:rsidRDefault="00A43773"/>
    <w:sectPr w:rsidR="00A43773" w:rsidSect="00F167F6">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E11704"/>
    <w:multiLevelType w:val="multilevel"/>
    <w:tmpl w:val="461E451C"/>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DC26CBA"/>
    <w:multiLevelType w:val="multilevel"/>
    <w:tmpl w:val="E354C4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967B50"/>
    <w:multiLevelType w:val="multilevel"/>
    <w:tmpl w:val="E1EA51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0464F1"/>
    <w:multiLevelType w:val="multilevel"/>
    <w:tmpl w:val="748EF9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2620032"/>
    <w:multiLevelType w:val="multilevel"/>
    <w:tmpl w:val="713A30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7BE1194"/>
    <w:multiLevelType w:val="multilevel"/>
    <w:tmpl w:val="408EF62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2217A31"/>
    <w:multiLevelType w:val="multilevel"/>
    <w:tmpl w:val="FCE0D7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96D6D5A"/>
    <w:multiLevelType w:val="multilevel"/>
    <w:tmpl w:val="B4C0A4E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3B585C95"/>
    <w:multiLevelType w:val="multilevel"/>
    <w:tmpl w:val="35D6CD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DBC6457"/>
    <w:multiLevelType w:val="multilevel"/>
    <w:tmpl w:val="633096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C2F0297"/>
    <w:multiLevelType w:val="multilevel"/>
    <w:tmpl w:val="359ADDF4"/>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77A11DE8"/>
    <w:multiLevelType w:val="multilevel"/>
    <w:tmpl w:val="219A7D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20231651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91369502">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42734963">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48609063">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58120694">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17675310">
    <w:abstractNumId w:val="6"/>
    <w:lvlOverride w:ilvl="0"/>
    <w:lvlOverride w:ilvl="1"/>
    <w:lvlOverride w:ilvl="2"/>
    <w:lvlOverride w:ilvl="3"/>
    <w:lvlOverride w:ilvl="4"/>
    <w:lvlOverride w:ilvl="5"/>
    <w:lvlOverride w:ilvl="6"/>
    <w:lvlOverride w:ilvl="7"/>
    <w:lvlOverride w:ilvl="8"/>
  </w:num>
  <w:num w:numId="7" w16cid:durableId="48237659">
    <w:abstractNumId w:val="8"/>
    <w:lvlOverride w:ilvl="0"/>
    <w:lvlOverride w:ilvl="1"/>
    <w:lvlOverride w:ilvl="2"/>
    <w:lvlOverride w:ilvl="3"/>
    <w:lvlOverride w:ilvl="4"/>
    <w:lvlOverride w:ilvl="5"/>
    <w:lvlOverride w:ilvl="6"/>
    <w:lvlOverride w:ilvl="7"/>
    <w:lvlOverride w:ilvl="8"/>
  </w:num>
  <w:num w:numId="8" w16cid:durableId="1781801302">
    <w:abstractNumId w:val="9"/>
    <w:lvlOverride w:ilvl="0"/>
    <w:lvlOverride w:ilvl="1"/>
    <w:lvlOverride w:ilvl="2"/>
    <w:lvlOverride w:ilvl="3"/>
    <w:lvlOverride w:ilvl="4"/>
    <w:lvlOverride w:ilvl="5"/>
    <w:lvlOverride w:ilvl="6"/>
    <w:lvlOverride w:ilvl="7"/>
    <w:lvlOverride w:ilvl="8"/>
  </w:num>
  <w:num w:numId="9" w16cid:durableId="1389647389">
    <w:abstractNumId w:val="2"/>
    <w:lvlOverride w:ilvl="0"/>
    <w:lvlOverride w:ilvl="1"/>
    <w:lvlOverride w:ilvl="2"/>
    <w:lvlOverride w:ilvl="3"/>
    <w:lvlOverride w:ilvl="4"/>
    <w:lvlOverride w:ilvl="5"/>
    <w:lvlOverride w:ilvl="6"/>
    <w:lvlOverride w:ilvl="7"/>
    <w:lvlOverride w:ilvl="8"/>
  </w:num>
  <w:num w:numId="10" w16cid:durableId="1182889676">
    <w:abstractNumId w:val="1"/>
    <w:lvlOverride w:ilvl="0"/>
    <w:lvlOverride w:ilvl="1"/>
    <w:lvlOverride w:ilvl="2"/>
    <w:lvlOverride w:ilvl="3"/>
    <w:lvlOverride w:ilvl="4"/>
    <w:lvlOverride w:ilvl="5"/>
    <w:lvlOverride w:ilvl="6"/>
    <w:lvlOverride w:ilvl="7"/>
    <w:lvlOverride w:ilvl="8"/>
  </w:num>
  <w:num w:numId="11" w16cid:durableId="10197420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78247">
    <w:abstractNumId w:val="1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4"/>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317"/>
    <w:rsid w:val="00017A87"/>
    <w:rsid w:val="001F5050"/>
    <w:rsid w:val="00331A61"/>
    <w:rsid w:val="003646BB"/>
    <w:rsid w:val="00383614"/>
    <w:rsid w:val="003C17E5"/>
    <w:rsid w:val="003F40FE"/>
    <w:rsid w:val="00657317"/>
    <w:rsid w:val="00731D20"/>
    <w:rsid w:val="007A720F"/>
    <w:rsid w:val="007A7DCB"/>
    <w:rsid w:val="00813DAF"/>
    <w:rsid w:val="008D5A46"/>
    <w:rsid w:val="009652BE"/>
    <w:rsid w:val="009F355A"/>
    <w:rsid w:val="00A11C70"/>
    <w:rsid w:val="00A43773"/>
    <w:rsid w:val="00D0662A"/>
    <w:rsid w:val="00D91EEA"/>
    <w:rsid w:val="00EB6A89"/>
    <w:rsid w:val="00F167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73956A35"/>
  <w15:chartTrackingRefBased/>
  <w15:docId w15:val="{B4733408-E961-AF48-812F-EB5B4B8DD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657317"/>
    <w:rPr>
      <w:rFonts w:ascii="Calibri" w:hAnsi="Calibri" w:cs="Calibri"/>
      <w:kern w:val="0"/>
      <w:lang w:eastAsia="de-DE"/>
      <w14:ligatures w14:val="none"/>
    </w:rPr>
  </w:style>
  <w:style w:type="paragraph" w:styleId="berschrift1">
    <w:name w:val="heading 1"/>
    <w:basedOn w:val="Standard"/>
    <w:next w:val="Standard"/>
    <w:link w:val="berschrift1Zchn"/>
    <w:uiPriority w:val="9"/>
    <w:qFormat/>
    <w:rsid w:val="0065731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65731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657317"/>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657317"/>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657317"/>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65731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5731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5731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5731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57317"/>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657317"/>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657317"/>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657317"/>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657317"/>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65731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5731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5731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57317"/>
    <w:rPr>
      <w:rFonts w:eastAsiaTheme="majorEastAsia" w:cstheme="majorBidi"/>
      <w:color w:val="272727" w:themeColor="text1" w:themeTint="D8"/>
    </w:rPr>
  </w:style>
  <w:style w:type="paragraph" w:styleId="Titel">
    <w:name w:val="Title"/>
    <w:basedOn w:val="Standard"/>
    <w:next w:val="Standard"/>
    <w:link w:val="TitelZchn"/>
    <w:uiPriority w:val="10"/>
    <w:qFormat/>
    <w:rsid w:val="00657317"/>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5731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5731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5731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5731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57317"/>
    <w:rPr>
      <w:i/>
      <w:iCs/>
      <w:color w:val="404040" w:themeColor="text1" w:themeTint="BF"/>
    </w:rPr>
  </w:style>
  <w:style w:type="paragraph" w:styleId="Listenabsatz">
    <w:name w:val="List Paragraph"/>
    <w:basedOn w:val="Standard"/>
    <w:uiPriority w:val="34"/>
    <w:qFormat/>
    <w:rsid w:val="00657317"/>
    <w:pPr>
      <w:ind w:left="720"/>
      <w:contextualSpacing/>
    </w:pPr>
  </w:style>
  <w:style w:type="character" w:styleId="IntensiveHervorhebung">
    <w:name w:val="Intense Emphasis"/>
    <w:basedOn w:val="Absatz-Standardschriftart"/>
    <w:uiPriority w:val="21"/>
    <w:qFormat/>
    <w:rsid w:val="00657317"/>
    <w:rPr>
      <w:i/>
      <w:iCs/>
      <w:color w:val="2F5496" w:themeColor="accent1" w:themeShade="BF"/>
    </w:rPr>
  </w:style>
  <w:style w:type="paragraph" w:styleId="IntensivesZitat">
    <w:name w:val="Intense Quote"/>
    <w:basedOn w:val="Standard"/>
    <w:next w:val="Standard"/>
    <w:link w:val="IntensivesZitatZchn"/>
    <w:uiPriority w:val="30"/>
    <w:qFormat/>
    <w:rsid w:val="006573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657317"/>
    <w:rPr>
      <w:i/>
      <w:iCs/>
      <w:color w:val="2F5496" w:themeColor="accent1" w:themeShade="BF"/>
    </w:rPr>
  </w:style>
  <w:style w:type="character" w:styleId="IntensiverVerweis">
    <w:name w:val="Intense Reference"/>
    <w:basedOn w:val="Absatz-Standardschriftart"/>
    <w:uiPriority w:val="32"/>
    <w:qFormat/>
    <w:rsid w:val="00657317"/>
    <w:rPr>
      <w:b/>
      <w:bCs/>
      <w:smallCaps/>
      <w:color w:val="2F5496" w:themeColor="accent1" w:themeShade="BF"/>
      <w:spacing w:val="5"/>
    </w:rPr>
  </w:style>
  <w:style w:type="character" w:styleId="Hyperlink">
    <w:name w:val="Hyperlink"/>
    <w:basedOn w:val="Absatz-Standardschriftart"/>
    <w:uiPriority w:val="99"/>
    <w:semiHidden/>
    <w:unhideWhenUsed/>
    <w:rsid w:val="00657317"/>
    <w:rPr>
      <w:color w:val="0563C1"/>
      <w:u w:val="single"/>
    </w:rPr>
  </w:style>
  <w:style w:type="paragraph" w:styleId="StandardWeb">
    <w:name w:val="Normal (Web)"/>
    <w:basedOn w:val="Standard"/>
    <w:uiPriority w:val="99"/>
    <w:semiHidden/>
    <w:unhideWhenUsed/>
    <w:rsid w:val="00657317"/>
    <w:pPr>
      <w:spacing w:before="100" w:beforeAutospacing="1" w:after="100" w:afterAutospacing="1"/>
    </w:pPr>
    <w:rPr>
      <w:rFonts w:ascii="Aptos" w:hAnsi="Aptos" w:cs="Aptos"/>
    </w:rPr>
  </w:style>
  <w:style w:type="character" w:styleId="Fett">
    <w:name w:val="Strong"/>
    <w:basedOn w:val="Absatz-Standardschriftart"/>
    <w:uiPriority w:val="22"/>
    <w:qFormat/>
    <w:rsid w:val="006573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d.de/die-ard/presse-kontakt/archive/archivzugang-fuer-wissenschaft-und-forschung-100.html?utm_source=chatgpt.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esetze-im-internet.de/vwgo/__43.html?utm_source=chatgpt.com" TargetMode="External"/><Relationship Id="rId12" Type="http://schemas.openxmlformats.org/officeDocument/2006/relationships/hyperlink" Target="https://archiv-kontakt.ard.de/?utm_source=chatgp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esetze-im-internet.de/vwgo/__42.html?utm_source=chatgpt.com" TargetMode="External"/><Relationship Id="rId11" Type="http://schemas.openxmlformats.org/officeDocument/2006/relationships/hyperlink" Target="https://www.gesetze-im-internet.de/vwgo/index.html?utm_source=chatgpt.com" TargetMode="External"/><Relationship Id="rId5" Type="http://schemas.openxmlformats.org/officeDocument/2006/relationships/hyperlink" Target="https://www.ard.de/die-ard/presse-kontakt/archive/archivzugang-fuer-wissenschaft-und-forschung-100.html?utm_source=chatgpt.com" TargetMode="External"/><Relationship Id="rId10" Type="http://schemas.openxmlformats.org/officeDocument/2006/relationships/hyperlink" Target="https://www.bverwg.de/pm/2025/80?utm_source=chatgpt.com" TargetMode="External"/><Relationship Id="rId4" Type="http://schemas.openxmlformats.org/officeDocument/2006/relationships/webSettings" Target="webSettings.xml"/><Relationship Id="rId9" Type="http://schemas.openxmlformats.org/officeDocument/2006/relationships/hyperlink" Target="https://www.ard.de/die-ard/presse-kontakt/archive/archivzugang-ndr-100.html?utm_source=chatgpt.com" TargetMode="External"/><Relationship Id="rId14" Type="http://schemas.openxmlformats.org/officeDocument/2006/relationships/theme" Target="theme/theme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2711</Words>
  <Characters>17084</Characters>
  <Application>Microsoft Office Word</Application>
  <DocSecurity>0</DocSecurity>
  <Lines>142</Lines>
  <Paragraphs>39</Paragraphs>
  <ScaleCrop>false</ScaleCrop>
  <Company/>
  <LinksUpToDate>false</LinksUpToDate>
  <CharactersWithSpaces>19756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Bönig, Carlotta (Abi28A)</dc:creator>
  <cp:keywords/>
  <dc:description/>
  <cp:lastModifiedBy>Bönig, Carlotta (Abi28A)</cp:lastModifiedBy>
  <cp:revision>1</cp:revision>
  <dcterms:created xsi:type="dcterms:W3CDTF">2026-08-08T20:21:00Z</dcterms:created>
  <dcterms:modified xsi:type="dcterms:W3CDTF">2026-08-08T20:21:00Z</dcterms:modified>
</cp:coreProperties>
</file>