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A42DDC"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Ja. Mit dieser Zielsetzung ist der Plan wesentlich einfacher zu verstehen – und ich hatte ihn in meiner letzten Antwort zu sehr wie </w:t>
      </w:r>
      <w:r w:rsidRPr="00223DE6">
        <w:rPr>
          <w:rFonts w:ascii="Times New Roman" w:eastAsia="Times New Roman" w:hAnsi="Times New Roman" w:cs="Times New Roman"/>
          <w:b/>
          <w:bCs/>
          <w:kern w:val="0"/>
          <w:lang w:eastAsia="de-DE"/>
          <w14:ligatures w14:val="none"/>
        </w:rPr>
        <w:t>51 klassische Klagen, die jeweils unmittelbar einen Datenzugangsanspruch gewinnen sollen</w:t>
      </w:r>
      <w:r w:rsidRPr="00223DE6">
        <w:rPr>
          <w:rFonts w:ascii="Times New Roman" w:eastAsia="Times New Roman" w:hAnsi="Times New Roman" w:cs="Times New Roman"/>
          <w:kern w:val="0"/>
          <w:lang w:eastAsia="de-DE"/>
          <w14:ligatures w14:val="none"/>
        </w:rPr>
        <w:t>, behandelt. Das ist nicht das eigentliche Projekt.</w:t>
      </w:r>
    </w:p>
    <w:p w14:paraId="2B805459"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Euer Projekt ist vielmehr ein </w:t>
      </w:r>
      <w:r w:rsidRPr="00223DE6">
        <w:rPr>
          <w:rFonts w:ascii="Times New Roman" w:eastAsia="Times New Roman" w:hAnsi="Times New Roman" w:cs="Times New Roman"/>
          <w:b/>
          <w:bCs/>
          <w:kern w:val="0"/>
          <w:lang w:eastAsia="de-DE"/>
          <w14:ligatures w14:val="none"/>
        </w:rPr>
        <w:t>bundesweiter Praxistest des vom Bundesverwaltungsgericht eröffneten Rechtsschutzes</w:t>
      </w:r>
      <w:r w:rsidRPr="00223DE6">
        <w:rPr>
          <w:rFonts w:ascii="Times New Roman" w:eastAsia="Times New Roman" w:hAnsi="Times New Roman" w:cs="Times New Roman"/>
          <w:kern w:val="0"/>
          <w:lang w:eastAsia="de-DE"/>
          <w14:ligatures w14:val="none"/>
        </w:rPr>
        <w:t>.</w:t>
      </w:r>
    </w:p>
    <w:p w14:paraId="7530A4BC"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Das Bundesverwaltungsgericht hat zwei entscheidende Aussagen nebeneinandergestellt: Ein Verwaltungsgericht darf einen Kläger nicht einfach auf Programmbeschwerde oder Gremienkontrolle verweisen; bei hinreichend substantiiertem Vortrag muss es der Sache nachgehen. Gleichzeitig wird „in aller Regel“ </w:t>
      </w:r>
      <w:proofErr w:type="gramStart"/>
      <w:r w:rsidRPr="00223DE6">
        <w:rPr>
          <w:rFonts w:ascii="Times New Roman" w:eastAsia="Times New Roman" w:hAnsi="Times New Roman" w:cs="Times New Roman"/>
          <w:kern w:val="0"/>
          <w:lang w:eastAsia="de-DE"/>
          <w14:ligatures w14:val="none"/>
        </w:rPr>
        <w:t>ein wissenschaftlichen Anforderungen</w:t>
      </w:r>
      <w:proofErr w:type="gramEnd"/>
      <w:r w:rsidRPr="00223DE6">
        <w:rPr>
          <w:rFonts w:ascii="Times New Roman" w:eastAsia="Times New Roman" w:hAnsi="Times New Roman" w:cs="Times New Roman"/>
          <w:kern w:val="0"/>
          <w:lang w:eastAsia="de-DE"/>
          <w14:ligatures w14:val="none"/>
        </w:rPr>
        <w:t xml:space="preserve"> genügendes Gutachten verlangt, und das BVerwG erklärt ausdrücklich, diese Hürde sei für einen Kläger nicht unüberwindbar. (</w:t>
      </w:r>
      <w:hyperlink r:id="rId5" w:tooltip="BVerwG 6 C 5.24, Urteil vom 15. Oktober 2025 | Bundesverwaltungsgericht" w:history="1">
        <w:r w:rsidRPr="00223DE6">
          <w:rPr>
            <w:rFonts w:ascii="Times New Roman" w:eastAsia="Times New Roman" w:hAnsi="Times New Roman" w:cs="Times New Roman"/>
            <w:color w:val="0000FF"/>
            <w:kern w:val="0"/>
            <w:u w:val="single"/>
            <w:lang w:eastAsia="de-DE"/>
            <w14:ligatures w14:val="none"/>
          </w:rPr>
          <w:t>Bundesverwaltungsgericht</w:t>
        </w:r>
      </w:hyperlink>
      <w:r w:rsidRPr="00223DE6">
        <w:rPr>
          <w:rFonts w:ascii="Times New Roman" w:eastAsia="Times New Roman" w:hAnsi="Times New Roman" w:cs="Times New Roman"/>
          <w:kern w:val="0"/>
          <w:lang w:eastAsia="de-DE"/>
          <w14:ligatures w14:val="none"/>
        </w:rPr>
        <w:t>)</w:t>
      </w:r>
    </w:p>
    <w:p w14:paraId="662CA84C"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b/>
          <w:bCs/>
          <w:kern w:val="0"/>
          <w:lang w:eastAsia="de-DE"/>
          <w14:ligatures w14:val="none"/>
        </w:rPr>
        <w:t>Genau diese letzte Aussage wollt ihr jetzt einem Praxistest unterziehen.</w:t>
      </w:r>
    </w:p>
    <w:p w14:paraId="5A4149F1"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Und unter diesem Blickwinkel halte ich euren ursprünglichen Plan für konsequent.</w:t>
      </w:r>
    </w:p>
    <w:p w14:paraId="15BE96B1"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Euer eigenes Strategiedokument beschreibt </w:t>
      </w:r>
      <w:proofErr w:type="gramStart"/>
      <w:r w:rsidRPr="00223DE6">
        <w:rPr>
          <w:rFonts w:ascii="Times New Roman" w:eastAsia="Times New Roman" w:hAnsi="Times New Roman" w:cs="Times New Roman"/>
          <w:kern w:val="0"/>
          <w:lang w:eastAsia="de-DE"/>
          <w14:ligatures w14:val="none"/>
        </w:rPr>
        <w:t>das eigentlich</w:t>
      </w:r>
      <w:proofErr w:type="gramEnd"/>
      <w:r w:rsidRPr="00223DE6">
        <w:rPr>
          <w:rFonts w:ascii="Times New Roman" w:eastAsia="Times New Roman" w:hAnsi="Times New Roman" w:cs="Times New Roman"/>
          <w:kern w:val="0"/>
          <w:lang w:eastAsia="de-DE"/>
          <w14:ligatures w14:val="none"/>
        </w:rPr>
        <w:t xml:space="preserve"> schon sehr präzise: Nicht mehr Beitragsklage, nicht mehr Programmklage, sondern die Frage, wie der Bürger den vom BVerwG eröffneten Rechtsweg praktisch nutzen soll. Der vorgeschlagene Ablauf ist: identische wissenschaftliche Datenanträge, Reaktion der Anstalten dokumentieren, anschließend parallel klagen und die Antworten systematisch auswerten.</w:t>
      </w:r>
    </w:p>
    <w:p w14:paraId="4BA7CC9B"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Und der „Leipziger Tatsachensturm“ formuliert das eigentliche Endziel noch klarer: Nicht irgendwann nach Leipzig gehen und lediglich behaupten, der Rechtsschutz funktioniere nicht, sondern sagen: </w:t>
      </w:r>
      <w:r w:rsidRPr="00223DE6">
        <w:rPr>
          <w:rFonts w:ascii="Times New Roman" w:eastAsia="Times New Roman" w:hAnsi="Times New Roman" w:cs="Times New Roman"/>
          <w:b/>
          <w:bCs/>
          <w:kern w:val="0"/>
          <w:lang w:eastAsia="de-DE"/>
          <w14:ligatures w14:val="none"/>
        </w:rPr>
        <w:t>„Sie haben einen Rechtsweg eröffnet. Wir haben ihn bundesweit beschritten. Hier ist das Ergebnis.“</w:t>
      </w:r>
    </w:p>
    <w:p w14:paraId="7F613B02"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Das ist die entscheidende Perspektive.</w:t>
      </w:r>
    </w:p>
    <w:p w14:paraId="5021C0B9" w14:textId="77777777" w:rsidR="00223DE6" w:rsidRPr="00223DE6" w:rsidRDefault="00223DE6" w:rsidP="00223DE6">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223DE6">
        <w:rPr>
          <w:rFonts w:ascii="Times New Roman" w:eastAsia="Times New Roman" w:hAnsi="Times New Roman" w:cs="Times New Roman"/>
          <w:b/>
          <w:bCs/>
          <w:kern w:val="0"/>
          <w:sz w:val="27"/>
          <w:szCs w:val="27"/>
          <w:lang w:eastAsia="de-DE"/>
          <w14:ligatures w14:val="none"/>
        </w:rPr>
        <w:t>So würde ich den Plan jetzt halten – ohne ihn wieder aufzublähen</w:t>
      </w:r>
    </w:p>
    <w:p w14:paraId="39EB62EE" w14:textId="77777777" w:rsidR="00223DE6" w:rsidRPr="00223DE6" w:rsidRDefault="00223DE6" w:rsidP="00223DE6">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b/>
          <w:bCs/>
          <w:kern w:val="0"/>
          <w:lang w:eastAsia="de-DE"/>
          <w14:ligatures w14:val="none"/>
        </w:rPr>
        <w:t>Die bisherigen erfolglosen Beitragsverfahren sind Ebene 1.</w:t>
      </w:r>
      <w:r w:rsidRPr="00223DE6">
        <w:rPr>
          <w:rFonts w:ascii="Times New Roman" w:eastAsia="Times New Roman" w:hAnsi="Times New Roman" w:cs="Times New Roman"/>
          <w:kern w:val="0"/>
          <w:lang w:eastAsia="de-DE"/>
          <w14:ligatures w14:val="none"/>
        </w:rPr>
        <w:t xml:space="preserve"> Sie dokumentieren die Ausgangslage: Die Kläger haben den Programmaspekt bereits gerichtlich geltend gemacht und sind mit ihrem bisherigen Vortrag nicht durchgedrungen. Das V-Gutachten ordnet genau das Problem ein: Wissenschaftlich belastbarer Gesamtvortrag wird verlangt, während die hierfür benötigte systematische Datenbasis dem einzelnen Bürger typischerweise nicht zur Verfügung steht; daraus beschreibt es die strukturelle Beweisnot.</w:t>
      </w:r>
    </w:p>
    <w:p w14:paraId="163F299E" w14:textId="77777777" w:rsidR="00223DE6" w:rsidRPr="00223DE6" w:rsidRDefault="00223DE6" w:rsidP="00223DE6">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b/>
          <w:bCs/>
          <w:kern w:val="0"/>
          <w:lang w:eastAsia="de-DE"/>
          <w14:ligatures w14:val="none"/>
        </w:rPr>
        <w:t>Der Rundfunkalarm ist Ebene 2.</w:t>
      </w:r>
      <w:r w:rsidRPr="00223DE6">
        <w:rPr>
          <w:rFonts w:ascii="Times New Roman" w:eastAsia="Times New Roman" w:hAnsi="Times New Roman" w:cs="Times New Roman"/>
          <w:kern w:val="0"/>
          <w:lang w:eastAsia="de-DE"/>
          <w14:ligatures w14:val="none"/>
        </w:rPr>
        <w:t xml:space="preserve"> Damit beantwortet ihr den naheliegenden Ausweg „Dann benutzt doch Programmbeschwerden und Rundfunkräte“. Wichtig ist nur, seine eigene präzise Formulierung zu übernehmen: Die Daten </w:t>
      </w:r>
      <w:r w:rsidRPr="00223DE6">
        <w:rPr>
          <w:rFonts w:ascii="Times New Roman" w:eastAsia="Times New Roman" w:hAnsi="Times New Roman" w:cs="Times New Roman"/>
          <w:b/>
          <w:bCs/>
          <w:kern w:val="0"/>
          <w:lang w:eastAsia="de-DE"/>
          <w14:ligatures w14:val="none"/>
        </w:rPr>
        <w:t>erschüttern die Annahme einer praktisch relevanten Korrekturwirkung</w:t>
      </w:r>
      <w:r w:rsidRPr="00223DE6">
        <w:rPr>
          <w:rFonts w:ascii="Times New Roman" w:eastAsia="Times New Roman" w:hAnsi="Times New Roman" w:cs="Times New Roman"/>
          <w:kern w:val="0"/>
          <w:lang w:eastAsia="de-DE"/>
          <w14:ligatures w14:val="none"/>
        </w:rPr>
        <w:t>. Das Gutachten dokumentiert tausende Beschwerden und Gremienvorgänge, ohne dass eine entsprechende dokumentierte Korrekturwirkung erkennbar wird. Das ist prozessual sogar besser als die absolute Behauptung „Rundfunkräte funktionieren nie“.</w:t>
      </w:r>
    </w:p>
    <w:p w14:paraId="102C4E1F" w14:textId="77777777" w:rsidR="00223DE6" w:rsidRPr="00223DE6" w:rsidRDefault="00223DE6" w:rsidP="00223DE6">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b/>
          <w:bCs/>
          <w:kern w:val="0"/>
          <w:lang w:eastAsia="de-DE"/>
          <w14:ligatures w14:val="none"/>
        </w:rPr>
        <w:t>Jetzt kommt Ebene 3: Datenzugang.</w:t>
      </w:r>
      <w:r w:rsidRPr="00223DE6">
        <w:rPr>
          <w:rFonts w:ascii="Times New Roman" w:eastAsia="Times New Roman" w:hAnsi="Times New Roman" w:cs="Times New Roman"/>
          <w:kern w:val="0"/>
          <w:lang w:eastAsia="de-DE"/>
          <w14:ligatures w14:val="none"/>
        </w:rPr>
        <w:t xml:space="preserve"> Jeder Kläger schreibt seine LRA, ZDF, Deutschlandradio und das Archiv an. Die Anträge sind bereits bewusst so konstruiert, dass nicht pauschal „gebt alles heraus“ verlangt wird, sondern wissenschaftlicher Zugang, Pilotzugang, Transkripte, Metadaten, Archivzugang und alternative </w:t>
      </w:r>
      <w:r w:rsidRPr="00223DE6">
        <w:rPr>
          <w:rFonts w:ascii="Times New Roman" w:eastAsia="Times New Roman" w:hAnsi="Times New Roman" w:cs="Times New Roman"/>
          <w:kern w:val="0"/>
          <w:lang w:eastAsia="de-DE"/>
          <w14:ligatures w14:val="none"/>
        </w:rPr>
        <w:lastRenderedPageBreak/>
        <w:t>Zugangsmöglichkeiten. Der LRA-Antrag beschränkt sich ausdrücklich auf Daten in der eigenen Verfügungs- oder Verantwortungssphäre und bietet sogar einen sechsmonatigen Pilotzugang an. Das genügt für euren Zweck: Niemand soll später sagen können, es sei nie konkret um Zugang ersucht worden.</w:t>
      </w:r>
    </w:p>
    <w:p w14:paraId="0EBDA5D3" w14:textId="77777777" w:rsidR="00223DE6" w:rsidRPr="00223DE6" w:rsidRDefault="00223DE6" w:rsidP="00223DE6">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b/>
          <w:bCs/>
          <w:kern w:val="0"/>
          <w:lang w:eastAsia="de-DE"/>
          <w14:ligatures w14:val="none"/>
        </w:rPr>
        <w:t>Dann kommen die 51 Feststellungsverfahren als Ebene 4.</w:t>
      </w:r>
      <w:r w:rsidRPr="00223DE6">
        <w:rPr>
          <w:rFonts w:ascii="Times New Roman" w:eastAsia="Times New Roman" w:hAnsi="Times New Roman" w:cs="Times New Roman"/>
          <w:kern w:val="0"/>
          <w:lang w:eastAsia="de-DE"/>
          <w14:ligatures w14:val="none"/>
        </w:rPr>
        <w:t xml:space="preserve"> Ihr wollt dort nicht noch einmal beweisen, dass das Programm verfassungswidrig ist. Das wäre wieder das alte Spielfeld. Die eine Frage lautet vielmehr sinngemäß: </w:t>
      </w:r>
      <w:r w:rsidRPr="00223DE6">
        <w:rPr>
          <w:rFonts w:ascii="Times New Roman" w:eastAsia="Times New Roman" w:hAnsi="Times New Roman" w:cs="Times New Roman"/>
          <w:i/>
          <w:iCs/>
          <w:kern w:val="0"/>
          <w:lang w:eastAsia="de-DE"/>
          <w14:ligatures w14:val="none"/>
        </w:rPr>
        <w:t xml:space="preserve">Kann von diesem konkreten </w:t>
      </w:r>
      <w:proofErr w:type="gramStart"/>
      <w:r w:rsidRPr="00223DE6">
        <w:rPr>
          <w:rFonts w:ascii="Times New Roman" w:eastAsia="Times New Roman" w:hAnsi="Times New Roman" w:cs="Times New Roman"/>
          <w:i/>
          <w:iCs/>
          <w:kern w:val="0"/>
          <w:lang w:eastAsia="de-DE"/>
          <w14:ligatures w14:val="none"/>
        </w:rPr>
        <w:t>Beitragspflichtigen</w:t>
      </w:r>
      <w:proofErr w:type="gramEnd"/>
      <w:r w:rsidRPr="00223DE6">
        <w:rPr>
          <w:rFonts w:ascii="Times New Roman" w:eastAsia="Times New Roman" w:hAnsi="Times New Roman" w:cs="Times New Roman"/>
          <w:i/>
          <w:iCs/>
          <w:kern w:val="0"/>
          <w:lang w:eastAsia="de-DE"/>
          <w14:ligatures w14:val="none"/>
        </w:rPr>
        <w:t xml:space="preserve"> der vom BVerwG </w:t>
      </w:r>
      <w:proofErr w:type="gramStart"/>
      <w:r w:rsidRPr="00223DE6">
        <w:rPr>
          <w:rFonts w:ascii="Times New Roman" w:eastAsia="Times New Roman" w:hAnsi="Times New Roman" w:cs="Times New Roman"/>
          <w:i/>
          <w:iCs/>
          <w:kern w:val="0"/>
          <w:lang w:eastAsia="de-DE"/>
          <w14:ligatures w14:val="none"/>
        </w:rPr>
        <w:t>verlangte</w:t>
      </w:r>
      <w:proofErr w:type="gramEnd"/>
      <w:r w:rsidRPr="00223DE6">
        <w:rPr>
          <w:rFonts w:ascii="Times New Roman" w:eastAsia="Times New Roman" w:hAnsi="Times New Roman" w:cs="Times New Roman"/>
          <w:i/>
          <w:iCs/>
          <w:kern w:val="0"/>
          <w:lang w:eastAsia="de-DE"/>
          <w14:ligatures w14:val="none"/>
        </w:rPr>
        <w:t xml:space="preserve"> wissenschaftliche Tatsachenvortrag verlangt werden, wenn ihm die hierfür konkret beantragten Erkenntnisgrundlagen nicht zugänglich gemacht werden?</w:t>
      </w:r>
      <w:r w:rsidRPr="00223DE6">
        <w:rPr>
          <w:rFonts w:ascii="Times New Roman" w:eastAsia="Times New Roman" w:hAnsi="Times New Roman" w:cs="Times New Roman"/>
          <w:kern w:val="0"/>
          <w:lang w:eastAsia="de-DE"/>
          <w14:ligatures w14:val="none"/>
        </w:rPr>
        <w:t xml:space="preserve"> Darum muss sich die ganze Klage drehen.</w:t>
      </w:r>
    </w:p>
    <w:p w14:paraId="1C8F49B9" w14:textId="77777777" w:rsidR="00223DE6" w:rsidRPr="00223DE6" w:rsidRDefault="00223DE6" w:rsidP="00223DE6">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b/>
          <w:bCs/>
          <w:kern w:val="0"/>
          <w:lang w:eastAsia="de-DE"/>
          <w14:ligatures w14:val="none"/>
        </w:rPr>
        <w:t>Jedes Ergebnis wird identisch codiert.</w:t>
      </w:r>
      <w:r w:rsidRPr="00223DE6">
        <w:rPr>
          <w:rFonts w:ascii="Times New Roman" w:eastAsia="Times New Roman" w:hAnsi="Times New Roman" w:cs="Times New Roman"/>
          <w:kern w:val="0"/>
          <w:lang w:eastAsia="de-DE"/>
          <w14:ligatures w14:val="none"/>
        </w:rPr>
        <w:t xml:space="preserve"> Hat das Gericht die Informationsasymmetrie behandelt? Art. 19 Abs. 4 GG? § 86 VwGO? Welche Informationsquelle soll der Kläger stattdessen benutzen? Hält das Gericht die verlangte wissenschaftliche Untersuchung ohne Zugang für möglich? Wenn ja: wie konkret? Genau diese Auswertung ist in eurem Plan bereits angelegt. Dann habt ihr keine „Sammlung verlorener Prozesse“, sondern eine empirische Untersuchung der Rechtsschutzpraxis.</w:t>
      </w:r>
    </w:p>
    <w:p w14:paraId="400C0F48" w14:textId="77777777" w:rsidR="00223DE6" w:rsidRPr="00223DE6" w:rsidRDefault="00223DE6" w:rsidP="00223DE6">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b/>
          <w:bCs/>
          <w:kern w:val="0"/>
          <w:lang w:eastAsia="de-DE"/>
          <w14:ligatures w14:val="none"/>
        </w:rPr>
        <w:t>Das Ergebnis wird fortlaufend veröffentlicht.</w:t>
      </w:r>
      <w:r w:rsidRPr="00223DE6">
        <w:rPr>
          <w:rFonts w:ascii="Times New Roman" w:eastAsia="Times New Roman" w:hAnsi="Times New Roman" w:cs="Times New Roman"/>
          <w:kern w:val="0"/>
          <w:lang w:eastAsia="de-DE"/>
          <w14:ligatures w14:val="none"/>
        </w:rPr>
        <w:t xml:space="preserve"> Das gehört ausdrücklich zum Versuchsdesign. Der Plan sieht einen Rechtsschutz-Monitor vor: Wer antwortet, was wird angeboten oder verweigert, und wie reagieren die Gerichte?</w:t>
      </w:r>
    </w:p>
    <w:p w14:paraId="29B3052A"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Das ist überschaubar.</w:t>
      </w:r>
    </w:p>
    <w:p w14:paraId="53D9E516" w14:textId="77777777" w:rsidR="00223DE6" w:rsidRPr="00223DE6" w:rsidRDefault="00223DE6" w:rsidP="00223DE6">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223DE6">
        <w:rPr>
          <w:rFonts w:ascii="Times New Roman" w:eastAsia="Times New Roman" w:hAnsi="Times New Roman" w:cs="Times New Roman"/>
          <w:b/>
          <w:bCs/>
          <w:kern w:val="0"/>
          <w:sz w:val="36"/>
          <w:szCs w:val="36"/>
          <w:lang w:eastAsia="de-DE"/>
          <w14:ligatures w14:val="none"/>
        </w:rPr>
        <w:t>Eine einzige juristische Sache würde ich trotzdem sauber machen</w:t>
      </w:r>
    </w:p>
    <w:p w14:paraId="69366C1C"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Wenn ihr euch jetzt endgültig auf </w:t>
      </w:r>
      <w:r w:rsidRPr="00223DE6">
        <w:rPr>
          <w:rFonts w:ascii="Times New Roman" w:eastAsia="Times New Roman" w:hAnsi="Times New Roman" w:cs="Times New Roman"/>
          <w:b/>
          <w:bCs/>
          <w:kern w:val="0"/>
          <w:lang w:eastAsia="de-DE"/>
          <w14:ligatures w14:val="none"/>
        </w:rPr>
        <w:t>Feststellungsklagen</w:t>
      </w:r>
      <w:r w:rsidRPr="00223DE6">
        <w:rPr>
          <w:rFonts w:ascii="Times New Roman" w:eastAsia="Times New Roman" w:hAnsi="Times New Roman" w:cs="Times New Roman"/>
          <w:kern w:val="0"/>
          <w:lang w:eastAsia="de-DE"/>
          <w14:ligatures w14:val="none"/>
        </w:rPr>
        <w:t xml:space="preserve"> festlegt, muss der Feststellungsantrag sehr sorgfältig formuliert werden. Nicht weil wir daraus wieder ein Monster machen sollten, sondern weil § 43 VwGO zwei einfache Angriffspunkte bietet: Es muss ein konkretes Rechtsverhältnis bestehen, und die Feststellungsklage ist grundsätzlich subsidiär, wenn das Ziel durch eine Leistungs- oder Gestaltungsklage erreicht werden kann. (</w:t>
      </w:r>
      <w:hyperlink r:id="rId6" w:tooltip="§ 43 VwGO - Einzelnorm - Gesetze im Internet" w:history="1">
        <w:r w:rsidRPr="00223DE6">
          <w:rPr>
            <w:rFonts w:ascii="Times New Roman" w:eastAsia="Times New Roman" w:hAnsi="Times New Roman" w:cs="Times New Roman"/>
            <w:color w:val="0000FF"/>
            <w:kern w:val="0"/>
            <w:u w:val="single"/>
            <w:lang w:eastAsia="de-DE"/>
            <w14:ligatures w14:val="none"/>
          </w:rPr>
          <w:t>Gesetze im Internet</w:t>
        </w:r>
      </w:hyperlink>
      <w:r w:rsidRPr="00223DE6">
        <w:rPr>
          <w:rFonts w:ascii="Times New Roman" w:eastAsia="Times New Roman" w:hAnsi="Times New Roman" w:cs="Times New Roman"/>
          <w:kern w:val="0"/>
          <w:lang w:eastAsia="de-DE"/>
          <w14:ligatures w14:val="none"/>
        </w:rPr>
        <w:t>)</w:t>
      </w:r>
    </w:p>
    <w:p w14:paraId="67DE5652"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Deshalb würde ich </w:t>
      </w:r>
      <w:r w:rsidRPr="00223DE6">
        <w:rPr>
          <w:rFonts w:ascii="Times New Roman" w:eastAsia="Times New Roman" w:hAnsi="Times New Roman" w:cs="Times New Roman"/>
          <w:b/>
          <w:bCs/>
          <w:kern w:val="0"/>
          <w:lang w:eastAsia="de-DE"/>
          <w14:ligatures w14:val="none"/>
        </w:rPr>
        <w:t>nicht</w:t>
      </w:r>
      <w:r w:rsidRPr="00223DE6">
        <w:rPr>
          <w:rFonts w:ascii="Times New Roman" w:eastAsia="Times New Roman" w:hAnsi="Times New Roman" w:cs="Times New Roman"/>
          <w:kern w:val="0"/>
          <w:lang w:eastAsia="de-DE"/>
          <w14:ligatures w14:val="none"/>
        </w:rPr>
        <w:t xml:space="preserve"> feststellen lassen:</w:t>
      </w:r>
    </w:p>
    <w:p w14:paraId="57A2740F"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„Der Rechtsschutz gegen den Rundfunkbeitrag läuft leer.“</w:t>
      </w:r>
    </w:p>
    <w:p w14:paraId="0E4B4F59"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Das wäre viel zu abstrakt.</w:t>
      </w:r>
    </w:p>
    <w:p w14:paraId="7A2FD262"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Auch nicht:</w:t>
      </w:r>
    </w:p>
    <w:p w14:paraId="17A6FDA1"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„ARD und ZDF müssen sämtliche Daten herausgeben.“</w:t>
      </w:r>
    </w:p>
    <w:p w14:paraId="7C5CBEE9"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Dann seid ihr wieder bei der Leistungsklage.</w:t>
      </w:r>
    </w:p>
    <w:p w14:paraId="0D14DE0B"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Sondern das konkrete Rechtsverhältnis zwischen </w:t>
      </w:r>
      <w:r w:rsidRPr="00223DE6">
        <w:rPr>
          <w:rFonts w:ascii="Times New Roman" w:eastAsia="Times New Roman" w:hAnsi="Times New Roman" w:cs="Times New Roman"/>
          <w:b/>
          <w:bCs/>
          <w:kern w:val="0"/>
          <w:lang w:eastAsia="de-DE"/>
          <w14:ligatures w14:val="none"/>
        </w:rPr>
        <w:t>diesem Kläger und seiner Rundfunkanstalt</w:t>
      </w:r>
      <w:r w:rsidRPr="00223DE6">
        <w:rPr>
          <w:rFonts w:ascii="Times New Roman" w:eastAsia="Times New Roman" w:hAnsi="Times New Roman" w:cs="Times New Roman"/>
          <w:kern w:val="0"/>
          <w:lang w:eastAsia="de-DE"/>
          <w14:ligatures w14:val="none"/>
        </w:rPr>
        <w:t xml:space="preserve"> zum Gegenstand machen. Inhaltlich etwa:</w:t>
      </w:r>
    </w:p>
    <w:p w14:paraId="749706F6"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Es wird festgestellt, dass dem Kläger im Rahmen der gerichtlichen Geltendmachung evidenter und regelmäßiger Defizite des öffentlich-rechtlichen Gesamtprogrammangebots nicht entgegengehalten werden kann, sein Vortrag genüge den vom Bundesverwaltungsgericht entwickelten Anforderungen nicht, soweit die zur wissenschaftlichen Überprüfung konkret </w:t>
      </w:r>
      <w:r w:rsidRPr="00223DE6">
        <w:rPr>
          <w:rFonts w:ascii="Times New Roman" w:eastAsia="Times New Roman" w:hAnsi="Times New Roman" w:cs="Times New Roman"/>
          <w:kern w:val="0"/>
          <w:lang w:eastAsia="de-DE"/>
          <w14:ligatures w14:val="none"/>
        </w:rPr>
        <w:lastRenderedPageBreak/>
        <w:t>beantragten und bei den Rundfunkanstalten beziehungsweise deren Archiven vorhandenen Erkenntnisgrundlagen ihm nicht zugänglich gemacht werden und ihm kein tatsächlich geeigneter alternativer Erkenntnisweg benannt wird.</w:t>
      </w:r>
    </w:p>
    <w:p w14:paraId="60F309B2"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Über die endgültige Fassung müssten wir noch sehr genau gehen. Aber </w:t>
      </w:r>
      <w:r w:rsidRPr="00223DE6">
        <w:rPr>
          <w:rFonts w:ascii="Times New Roman" w:eastAsia="Times New Roman" w:hAnsi="Times New Roman" w:cs="Times New Roman"/>
          <w:b/>
          <w:bCs/>
          <w:kern w:val="0"/>
          <w:lang w:eastAsia="de-DE"/>
          <w14:ligatures w14:val="none"/>
        </w:rPr>
        <w:t>das</w:t>
      </w:r>
      <w:r w:rsidRPr="00223DE6">
        <w:rPr>
          <w:rFonts w:ascii="Times New Roman" w:eastAsia="Times New Roman" w:hAnsi="Times New Roman" w:cs="Times New Roman"/>
          <w:kern w:val="0"/>
          <w:lang w:eastAsia="de-DE"/>
          <w14:ligatures w14:val="none"/>
        </w:rPr>
        <w:t xml:space="preserve"> ist die Ebene, auf der ich die 51 Feststellungsklagen aufbauen würde.</w:t>
      </w:r>
    </w:p>
    <w:p w14:paraId="66C7D4F1" w14:textId="77777777" w:rsidR="00223DE6" w:rsidRPr="00223DE6" w:rsidRDefault="00223DE6" w:rsidP="00223DE6">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223DE6">
        <w:rPr>
          <w:rFonts w:ascii="Times New Roman" w:eastAsia="Times New Roman" w:hAnsi="Times New Roman" w:cs="Times New Roman"/>
          <w:b/>
          <w:bCs/>
          <w:kern w:val="0"/>
          <w:sz w:val="36"/>
          <w:szCs w:val="36"/>
          <w:lang w:eastAsia="de-DE"/>
          <w14:ligatures w14:val="none"/>
        </w:rPr>
        <w:t>Und die vier Gutachten passen in diesem Konzept plötzlich sehr sauber zusammen</w:t>
      </w:r>
    </w:p>
    <w:p w14:paraId="1B41153E"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Ich würde sie nicht mehr als vier konkurrierende „Beweise“ behandeln, sondern wie vier Bausteine einer Chronologie.</w:t>
      </w:r>
    </w:p>
    <w:p w14:paraId="2AD8B062"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Das </w:t>
      </w:r>
      <w:r w:rsidRPr="00223DE6">
        <w:rPr>
          <w:rFonts w:ascii="Times New Roman" w:eastAsia="Times New Roman" w:hAnsi="Times New Roman" w:cs="Times New Roman"/>
          <w:b/>
          <w:bCs/>
          <w:kern w:val="0"/>
          <w:lang w:eastAsia="de-DE"/>
          <w14:ligatures w14:val="none"/>
        </w:rPr>
        <w:t>V-Gutachten</w:t>
      </w:r>
      <w:r w:rsidRPr="00223DE6">
        <w:rPr>
          <w:rFonts w:ascii="Times New Roman" w:eastAsia="Times New Roman" w:hAnsi="Times New Roman" w:cs="Times New Roman"/>
          <w:kern w:val="0"/>
          <w:lang w:eastAsia="de-DE"/>
          <w14:ligatures w14:val="none"/>
        </w:rPr>
        <w:t xml:space="preserve"> erklärt die erste Sackgasse: hoher wissenschaftlicher Substantiierungsmaßstab versus fehlende systematische Datengrundlage. Es beansprucht selbst ausdrücklich nicht, das gerichtliche Sachverständigengutachten zu ersetzen, sondern Tatsachen, Indizien und Widersprüche für weiteren Aufklärungsbedarf aufzuzeigen.</w:t>
      </w:r>
    </w:p>
    <w:p w14:paraId="55F376AB"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Das </w:t>
      </w:r>
      <w:r w:rsidRPr="00223DE6">
        <w:rPr>
          <w:rFonts w:ascii="Times New Roman" w:eastAsia="Times New Roman" w:hAnsi="Times New Roman" w:cs="Times New Roman"/>
          <w:b/>
          <w:bCs/>
          <w:kern w:val="0"/>
          <w:lang w:eastAsia="de-DE"/>
          <w14:ligatures w14:val="none"/>
        </w:rPr>
        <w:t>Rundfunkalarm-Gutachten</w:t>
      </w:r>
      <w:r w:rsidRPr="00223DE6">
        <w:rPr>
          <w:rFonts w:ascii="Times New Roman" w:eastAsia="Times New Roman" w:hAnsi="Times New Roman" w:cs="Times New Roman"/>
          <w:kern w:val="0"/>
          <w:lang w:eastAsia="de-DE"/>
          <w14:ligatures w14:val="none"/>
        </w:rPr>
        <w:t xml:space="preserve"> behandelt die zweite Sackgasse: den alternativ genannten Beschwerde- und Gremienweg. Es ist ausdrücklich als datenbasierter qualifizierter Parteivortrag über dessen praktische Wirksamkeit beziehungsweise Wirkungslosigkeit konzipiert.</w:t>
      </w:r>
    </w:p>
    <w:p w14:paraId="781C5A81"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Das </w:t>
      </w:r>
      <w:r w:rsidRPr="00223DE6">
        <w:rPr>
          <w:rFonts w:ascii="Times New Roman" w:eastAsia="Times New Roman" w:hAnsi="Times New Roman" w:cs="Times New Roman"/>
          <w:b/>
          <w:bCs/>
          <w:kern w:val="0"/>
          <w:lang w:eastAsia="de-DE"/>
          <w14:ligatures w14:val="none"/>
        </w:rPr>
        <w:t>Kurz-Gutachten</w:t>
      </w:r>
      <w:r w:rsidRPr="00223DE6">
        <w:rPr>
          <w:rFonts w:ascii="Times New Roman" w:eastAsia="Times New Roman" w:hAnsi="Times New Roman" w:cs="Times New Roman"/>
          <w:kern w:val="0"/>
          <w:lang w:eastAsia="de-DE"/>
          <w14:ligatures w14:val="none"/>
        </w:rPr>
        <w:t xml:space="preserve"> bildet die juristische Brücke. Es konzentriert die Frage darauf, welcher tatsächliche Lebenssachverhalt überhaupt gerichtlich zu ermitteln ist und welche Konsequenzen das für Amtsermittlung, Beweiswürdigung und Informationsasymmetrie hat.</w:t>
      </w:r>
    </w:p>
    <w:p w14:paraId="72C905A4"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Und die </w:t>
      </w:r>
      <w:r w:rsidRPr="00223DE6">
        <w:rPr>
          <w:rFonts w:ascii="Times New Roman" w:eastAsia="Times New Roman" w:hAnsi="Times New Roman" w:cs="Times New Roman"/>
          <w:b/>
          <w:bCs/>
          <w:kern w:val="0"/>
          <w:lang w:eastAsia="de-DE"/>
          <w14:ligatures w14:val="none"/>
        </w:rPr>
        <w:t>Grundlagenuntersuchung</w:t>
      </w:r>
      <w:r w:rsidRPr="00223DE6">
        <w:rPr>
          <w:rFonts w:ascii="Times New Roman" w:eastAsia="Times New Roman" w:hAnsi="Times New Roman" w:cs="Times New Roman"/>
          <w:kern w:val="0"/>
          <w:lang w:eastAsia="de-DE"/>
          <w14:ligatures w14:val="none"/>
        </w:rPr>
        <w:t xml:space="preserve"> liefert die übergeordnete wissenschaftlich-dogmatische Theorie: Erkenntnisbarrieren, institutioneller Lebenssachverhalt, Vollanalyse, Amtsermittlung, sekundäre Darlegungslast und digitale Erkenntnisordnung sind dort bereits systematisch getrennt aufgebaut.</w:t>
      </w:r>
    </w:p>
    <w:p w14:paraId="24EA4B4F"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Dann kommt </w:t>
      </w:r>
      <w:r w:rsidRPr="00223DE6">
        <w:rPr>
          <w:rFonts w:ascii="Times New Roman" w:eastAsia="Times New Roman" w:hAnsi="Times New Roman" w:cs="Times New Roman"/>
          <w:b/>
          <w:bCs/>
          <w:kern w:val="0"/>
          <w:lang w:eastAsia="de-DE"/>
          <w14:ligatures w14:val="none"/>
        </w:rPr>
        <w:t>erst jetzt die fünfte Ebene</w:t>
      </w:r>
      <w:r w:rsidRPr="00223DE6">
        <w:rPr>
          <w:rFonts w:ascii="Times New Roman" w:eastAsia="Times New Roman" w:hAnsi="Times New Roman" w:cs="Times New Roman"/>
          <w:kern w:val="0"/>
          <w:lang w:eastAsia="de-DE"/>
          <w14:ligatures w14:val="none"/>
        </w:rPr>
        <w:t>, die es bislang noch gar nicht geben konnte:</w:t>
      </w:r>
    </w:p>
    <w:p w14:paraId="4B57CA60"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b/>
          <w:bCs/>
          <w:kern w:val="0"/>
          <w:lang w:eastAsia="de-DE"/>
          <w14:ligatures w14:val="none"/>
        </w:rPr>
        <w:t>Was passiert, nachdem das BVerwG erklärt hat, die Hürde sei überwindbar, und Bürger anschließend bundesweit konkret versuchen, sich die notwendigen Erkenntnisgrundlagen zu beschaffen und genau diese Frage gerichtlich klären zu lassen?</w:t>
      </w:r>
    </w:p>
    <w:p w14:paraId="01FB92F4"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Das ist der neue Tatsachenstoff.</w:t>
      </w:r>
    </w:p>
    <w:p w14:paraId="2B415875" w14:textId="77777777" w:rsidR="00223DE6" w:rsidRPr="00223DE6" w:rsidRDefault="00223DE6" w:rsidP="00223DE6">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223DE6">
        <w:rPr>
          <w:rFonts w:ascii="Times New Roman" w:eastAsia="Times New Roman" w:hAnsi="Times New Roman" w:cs="Times New Roman"/>
          <w:b/>
          <w:bCs/>
          <w:kern w:val="0"/>
          <w:sz w:val="27"/>
          <w:szCs w:val="27"/>
          <w:lang w:eastAsia="de-DE"/>
          <w14:ligatures w14:val="none"/>
        </w:rPr>
        <w:t>Einen Punkt würde ich sprachlich ändern</w:t>
      </w:r>
    </w:p>
    <w:p w14:paraId="04EB54BB"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Ich würde heute noch </w:t>
      </w:r>
      <w:r w:rsidRPr="00223DE6">
        <w:rPr>
          <w:rFonts w:ascii="Times New Roman" w:eastAsia="Times New Roman" w:hAnsi="Times New Roman" w:cs="Times New Roman"/>
          <w:b/>
          <w:bCs/>
          <w:kern w:val="0"/>
          <w:lang w:eastAsia="de-DE"/>
          <w14:ligatures w14:val="none"/>
        </w:rPr>
        <w:t>nicht</w:t>
      </w:r>
      <w:r w:rsidRPr="00223DE6">
        <w:rPr>
          <w:rFonts w:ascii="Times New Roman" w:eastAsia="Times New Roman" w:hAnsi="Times New Roman" w:cs="Times New Roman"/>
          <w:kern w:val="0"/>
          <w:lang w:eastAsia="de-DE"/>
          <w14:ligatures w14:val="none"/>
        </w:rPr>
        <w:t xml:space="preserve"> als bewiesene Tatsache formulieren:</w:t>
      </w:r>
    </w:p>
    <w:p w14:paraId="531E3458"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„Kein Kläger kann den BVerwG-Maßstab erfüllen.“</w:t>
      </w:r>
    </w:p>
    <w:p w14:paraId="48CAE677"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Denn genau das BVerwG sagt derzeit das Gegenteil: Die Hürde sei nicht unüberwindbar. (</w:t>
      </w:r>
      <w:hyperlink r:id="rId7" w:tooltip="BVerwG 6 C 5.24, Urteil vom 15. Oktober 2025 | Bundesverwaltungsgericht" w:history="1">
        <w:r w:rsidRPr="00223DE6">
          <w:rPr>
            <w:rFonts w:ascii="Times New Roman" w:eastAsia="Times New Roman" w:hAnsi="Times New Roman" w:cs="Times New Roman"/>
            <w:color w:val="0000FF"/>
            <w:kern w:val="0"/>
            <w:u w:val="single"/>
            <w:lang w:eastAsia="de-DE"/>
            <w14:ligatures w14:val="none"/>
          </w:rPr>
          <w:t>Bundesverwaltungsgericht</w:t>
        </w:r>
      </w:hyperlink>
      <w:r w:rsidRPr="00223DE6">
        <w:rPr>
          <w:rFonts w:ascii="Times New Roman" w:eastAsia="Times New Roman" w:hAnsi="Times New Roman" w:cs="Times New Roman"/>
          <w:kern w:val="0"/>
          <w:lang w:eastAsia="de-DE"/>
          <w14:ligatures w14:val="none"/>
        </w:rPr>
        <w:t>)</w:t>
      </w:r>
    </w:p>
    <w:p w14:paraId="2AF83C8C"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lastRenderedPageBreak/>
        <w:t>Viel stärker ist:</w:t>
      </w:r>
    </w:p>
    <w:p w14:paraId="10378E1F"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b/>
          <w:bCs/>
          <w:kern w:val="0"/>
          <w:lang w:eastAsia="de-DE"/>
          <w14:ligatures w14:val="none"/>
        </w:rPr>
        <w:t>„Die bisherige Praxis begründet erhebliche tatsächliche Zweifel daran, dass der vom Bundesverwaltungsgericht eröffnete Rechtsschutz unter den bestehenden Erkenntnisbedingungen praktisch erreichbar ist. Die vorliegenden Verfahren dienen dazu, diese Frage erstmals bundesweit systematisch zu überprüfen.“</w:t>
      </w:r>
    </w:p>
    <w:p w14:paraId="3E53E4C6"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Und wenn anschließend beispielsweise 48, 49 oder 51 Gerichte sagen: „Kein Datenanspruch, keine Mitwirkung, keine Amtsermittlung – aber das wissenschaftliche Gutachten müsst ihr trotzdem selbst bringen“, dann müsst ihr überhaupt nicht mehr behaupten, der Rechtsschutz laufe leer.</w:t>
      </w:r>
    </w:p>
    <w:p w14:paraId="337C4B89"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b/>
          <w:bCs/>
          <w:kern w:val="0"/>
          <w:lang w:eastAsia="de-DE"/>
          <w14:ligatures w14:val="none"/>
        </w:rPr>
        <w:t>Dann habt ihr einen Datensatz, der für sich spricht.</w:t>
      </w:r>
    </w:p>
    <w:p w14:paraId="426A84CF" w14:textId="77777777" w:rsidR="00223DE6" w:rsidRPr="00223DE6" w:rsidRDefault="00223DE6" w:rsidP="00223DE6">
      <w:pPr>
        <w:spacing w:before="100" w:beforeAutospacing="1" w:after="100" w:afterAutospacing="1"/>
        <w:rPr>
          <w:rFonts w:ascii="Times New Roman" w:eastAsia="Times New Roman" w:hAnsi="Times New Roman" w:cs="Times New Roman"/>
          <w:kern w:val="0"/>
          <w:lang w:eastAsia="de-DE"/>
          <w14:ligatures w14:val="none"/>
        </w:rPr>
      </w:pPr>
      <w:r w:rsidRPr="00223DE6">
        <w:rPr>
          <w:rFonts w:ascii="Times New Roman" w:eastAsia="Times New Roman" w:hAnsi="Times New Roman" w:cs="Times New Roman"/>
          <w:kern w:val="0"/>
          <w:lang w:eastAsia="de-DE"/>
          <w14:ligatures w14:val="none"/>
        </w:rPr>
        <w:t xml:space="preserve">In diesem Verständnis bin ich bei deinem Plan. Ich würde ihn jetzt </w:t>
      </w:r>
      <w:r w:rsidRPr="00223DE6">
        <w:rPr>
          <w:rFonts w:ascii="Times New Roman" w:eastAsia="Times New Roman" w:hAnsi="Times New Roman" w:cs="Times New Roman"/>
          <w:b/>
          <w:bCs/>
          <w:kern w:val="0"/>
          <w:lang w:eastAsia="de-DE"/>
          <w14:ligatures w14:val="none"/>
        </w:rPr>
        <w:t>nicht mehr grundsätzlich umbauen</w:t>
      </w:r>
      <w:r w:rsidRPr="00223DE6">
        <w:rPr>
          <w:rFonts w:ascii="Times New Roman" w:eastAsia="Times New Roman" w:hAnsi="Times New Roman" w:cs="Times New Roman"/>
          <w:kern w:val="0"/>
          <w:lang w:eastAsia="de-DE"/>
          <w14:ligatures w14:val="none"/>
        </w:rPr>
        <w:t xml:space="preserve">. Ich würde als Nächstes nur noch zwei Dinge messerscharf machen: </w:t>
      </w:r>
      <w:r w:rsidRPr="00223DE6">
        <w:rPr>
          <w:rFonts w:ascii="Times New Roman" w:eastAsia="Times New Roman" w:hAnsi="Times New Roman" w:cs="Times New Roman"/>
          <w:b/>
          <w:bCs/>
          <w:kern w:val="0"/>
          <w:lang w:eastAsia="de-DE"/>
          <w14:ligatures w14:val="none"/>
        </w:rPr>
        <w:t>den einheitlichen Feststellungsantrag der 51 Kläger</w:t>
      </w:r>
      <w:r w:rsidRPr="00223DE6">
        <w:rPr>
          <w:rFonts w:ascii="Times New Roman" w:eastAsia="Times New Roman" w:hAnsi="Times New Roman" w:cs="Times New Roman"/>
          <w:kern w:val="0"/>
          <w:lang w:eastAsia="de-DE"/>
          <w14:ligatures w14:val="none"/>
        </w:rPr>
        <w:t xml:space="preserve"> und </w:t>
      </w:r>
      <w:r w:rsidRPr="00223DE6">
        <w:rPr>
          <w:rFonts w:ascii="Times New Roman" w:eastAsia="Times New Roman" w:hAnsi="Times New Roman" w:cs="Times New Roman"/>
          <w:b/>
          <w:bCs/>
          <w:kern w:val="0"/>
          <w:lang w:eastAsia="de-DE"/>
          <w14:ligatures w14:val="none"/>
        </w:rPr>
        <w:t>eine kurze, einheitliche Anlagenlogik für die vier Gutachten plus die bisherigen Gerichtsentscheidungen</w:t>
      </w:r>
      <w:r w:rsidRPr="00223DE6">
        <w:rPr>
          <w:rFonts w:ascii="Times New Roman" w:eastAsia="Times New Roman" w:hAnsi="Times New Roman" w:cs="Times New Roman"/>
          <w:kern w:val="0"/>
          <w:lang w:eastAsia="de-DE"/>
          <w14:ligatures w14:val="none"/>
        </w:rPr>
        <w:t>. Das können wir schlank halten – nicht 400 Seiten neue Theorie, sondern ein identischer Kern, der bundesweit reproduzierbar ist.</w:t>
      </w:r>
    </w:p>
    <w:p w14:paraId="4B01480E" w14:textId="77777777" w:rsidR="00A43773" w:rsidRDefault="00A43773"/>
    <w:sectPr w:rsidR="00A43773" w:rsidSect="00F167F6">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734184"/>
    <w:multiLevelType w:val="multilevel"/>
    <w:tmpl w:val="293C6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33730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DE6"/>
    <w:rsid w:val="00017A87"/>
    <w:rsid w:val="001F5050"/>
    <w:rsid w:val="00223DE6"/>
    <w:rsid w:val="00331A61"/>
    <w:rsid w:val="003646BB"/>
    <w:rsid w:val="00383614"/>
    <w:rsid w:val="003C17E5"/>
    <w:rsid w:val="003F40FE"/>
    <w:rsid w:val="00731D20"/>
    <w:rsid w:val="007A720F"/>
    <w:rsid w:val="007A7DCB"/>
    <w:rsid w:val="00813DAF"/>
    <w:rsid w:val="008D5A46"/>
    <w:rsid w:val="009652BE"/>
    <w:rsid w:val="009F355A"/>
    <w:rsid w:val="00A11C70"/>
    <w:rsid w:val="00A43773"/>
    <w:rsid w:val="00D0662A"/>
    <w:rsid w:val="00D91EEA"/>
    <w:rsid w:val="00EB6A89"/>
    <w:rsid w:val="00F16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8E580E8"/>
  <w15:chartTrackingRefBased/>
  <w15:docId w15:val="{9E1DFDBE-967F-BB4F-99BA-9BDEB7997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3D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223D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223DE6"/>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223DE6"/>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223DE6"/>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223DE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23DE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23DE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23DE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23DE6"/>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223DE6"/>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223DE6"/>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223DE6"/>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223DE6"/>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223DE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23DE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23DE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23DE6"/>
    <w:rPr>
      <w:rFonts w:eastAsiaTheme="majorEastAsia" w:cstheme="majorBidi"/>
      <w:color w:val="272727" w:themeColor="text1" w:themeTint="D8"/>
    </w:rPr>
  </w:style>
  <w:style w:type="paragraph" w:styleId="Titel">
    <w:name w:val="Title"/>
    <w:basedOn w:val="Standard"/>
    <w:next w:val="Standard"/>
    <w:link w:val="TitelZchn"/>
    <w:uiPriority w:val="10"/>
    <w:qFormat/>
    <w:rsid w:val="00223DE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23DE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23DE6"/>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23DE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23DE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223DE6"/>
    <w:rPr>
      <w:i/>
      <w:iCs/>
      <w:color w:val="404040" w:themeColor="text1" w:themeTint="BF"/>
    </w:rPr>
  </w:style>
  <w:style w:type="paragraph" w:styleId="Listenabsatz">
    <w:name w:val="List Paragraph"/>
    <w:basedOn w:val="Standard"/>
    <w:uiPriority w:val="34"/>
    <w:qFormat/>
    <w:rsid w:val="00223DE6"/>
    <w:pPr>
      <w:ind w:left="720"/>
      <w:contextualSpacing/>
    </w:pPr>
  </w:style>
  <w:style w:type="character" w:styleId="IntensiveHervorhebung">
    <w:name w:val="Intense Emphasis"/>
    <w:basedOn w:val="Absatz-Standardschriftart"/>
    <w:uiPriority w:val="21"/>
    <w:qFormat/>
    <w:rsid w:val="00223DE6"/>
    <w:rPr>
      <w:i/>
      <w:iCs/>
      <w:color w:val="2F5496" w:themeColor="accent1" w:themeShade="BF"/>
    </w:rPr>
  </w:style>
  <w:style w:type="paragraph" w:styleId="IntensivesZitat">
    <w:name w:val="Intense Quote"/>
    <w:basedOn w:val="Standard"/>
    <w:next w:val="Standard"/>
    <w:link w:val="IntensivesZitatZchn"/>
    <w:uiPriority w:val="30"/>
    <w:qFormat/>
    <w:rsid w:val="00223D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223DE6"/>
    <w:rPr>
      <w:i/>
      <w:iCs/>
      <w:color w:val="2F5496" w:themeColor="accent1" w:themeShade="BF"/>
    </w:rPr>
  </w:style>
  <w:style w:type="character" w:styleId="IntensiverVerweis">
    <w:name w:val="Intense Reference"/>
    <w:basedOn w:val="Absatz-Standardschriftart"/>
    <w:uiPriority w:val="32"/>
    <w:qFormat/>
    <w:rsid w:val="00223DE6"/>
    <w:rPr>
      <w:b/>
      <w:bCs/>
      <w:smallCaps/>
      <w:color w:val="2F5496" w:themeColor="accent1" w:themeShade="BF"/>
      <w:spacing w:val="5"/>
    </w:rPr>
  </w:style>
  <w:style w:type="paragraph" w:styleId="StandardWeb">
    <w:name w:val="Normal (Web)"/>
    <w:basedOn w:val="Standard"/>
    <w:uiPriority w:val="99"/>
    <w:semiHidden/>
    <w:unhideWhenUsed/>
    <w:rsid w:val="00223DE6"/>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223DE6"/>
    <w:rPr>
      <w:b/>
      <w:bCs/>
    </w:rPr>
  </w:style>
  <w:style w:type="character" w:styleId="Hyperlink">
    <w:name w:val="Hyperlink"/>
    <w:basedOn w:val="Absatz-Standardschriftart"/>
    <w:uiPriority w:val="99"/>
    <w:semiHidden/>
    <w:unhideWhenUsed/>
    <w:rsid w:val="00223DE6"/>
    <w:rPr>
      <w:color w:val="0000FF"/>
      <w:u w:val="single"/>
    </w:rPr>
  </w:style>
  <w:style w:type="character" w:styleId="Hervorhebung">
    <w:name w:val="Emphasis"/>
    <w:basedOn w:val="Absatz-Standardschriftart"/>
    <w:uiPriority w:val="20"/>
    <w:qFormat/>
    <w:rsid w:val="00223D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verwg.de/151025U6C5.2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esetze-im-internet.de/vwgo/__43.html?utm_source=chatgpt.com" TargetMode="External"/><Relationship Id="rId5" Type="http://schemas.openxmlformats.org/officeDocument/2006/relationships/hyperlink" Target="https://www.bverwg.de/151025U6C5.24.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1324</Words>
  <Characters>8346</Characters>
  <Application>Microsoft Office Word</Application>
  <DocSecurity>0</DocSecurity>
  <Lines>69</Lines>
  <Paragraphs>19</Paragraphs>
  <ScaleCrop>false</ScaleCrop>
  <Company/>
  <LinksUpToDate>false</LinksUpToDate>
  <CharactersWithSpaces>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Bönig, Carlotta (Abi28A)</dc:creator>
  <cp:keywords/>
  <dc:description/>
  <cp:lastModifiedBy>Bönig, Carlotta (Abi28A)</cp:lastModifiedBy>
  <cp:revision>1</cp:revision>
  <dcterms:created xsi:type="dcterms:W3CDTF">2026-08-08T20:42:00Z</dcterms:created>
  <dcterms:modified xsi:type="dcterms:W3CDTF">2026-08-08T20:42:00Z</dcterms:modified>
</cp:coreProperties>
</file>