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0EA6DC" w14:textId="77777777" w:rsidR="00B46075" w:rsidRPr="00B46075" w:rsidRDefault="00B46075" w:rsidP="00B46075">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B46075">
        <w:rPr>
          <w:rFonts w:ascii="Times New Roman" w:eastAsia="Times New Roman" w:hAnsi="Times New Roman" w:cs="Times New Roman"/>
          <w:b/>
          <w:bCs/>
          <w:kern w:val="36"/>
          <w:sz w:val="48"/>
          <w:szCs w:val="48"/>
          <w:lang w:eastAsia="de-DE"/>
          <w14:ligatures w14:val="none"/>
        </w:rPr>
        <w:t>Gesamtbewertung</w:t>
      </w:r>
    </w:p>
    <w:p w14:paraId="01242CCD"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Ich habe den Strategieentwurf, sämtliche Antrags- und Klageentwürfe, die vier Gutachten, den Schriftsatz des Hessischen Rundfunks und euren Erwiderungsentwurf vollständig geprüft.</w:t>
      </w:r>
    </w:p>
    <w:p w14:paraId="63D77702"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Mein klares Ergebnis lautet:</w:t>
      </w:r>
    </w:p>
    <w:p w14:paraId="5BFD6CF4"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Die neue strategische Grundidee ist stark. Das gegenwärtige Paket ist aber noch nicht reif für 50 Klagen.</w:t>
      </w:r>
    </w:p>
    <w:p w14:paraId="2449C128"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Der Wechsel vom alten Vorwurf</w:t>
      </w:r>
    </w:p>
    <w:p w14:paraId="3C83E051"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„Der Rundfunk erfüllt seinen Auftrag nicht“</w:t>
      </w:r>
    </w:p>
    <w:p w14:paraId="2A415387"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zu der vorgelagerten Frage</w:t>
      </w:r>
    </w:p>
    <w:p w14:paraId="272E1C30"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„Wie soll ein Bürger den vom Bundesverwaltungsgericht verlangten wissenschaftlichen Vortrag leisten, wenn wesentliche Erkenntnisquellen nicht zugänglich sind?“</w:t>
      </w:r>
    </w:p>
    <w:p w14:paraId="2EFC357B"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 xml:space="preserve">ist klug. Ihr verlagert den Schwerpunkt von einer schwer beweisbaren Programmwertung auf die </w:t>
      </w:r>
      <w:r w:rsidRPr="00B46075">
        <w:rPr>
          <w:rFonts w:ascii="Times New Roman" w:eastAsia="Times New Roman" w:hAnsi="Times New Roman" w:cs="Times New Roman"/>
          <w:b/>
          <w:bCs/>
          <w:kern w:val="0"/>
          <w:lang w:eastAsia="de-DE"/>
          <w14:ligatures w14:val="none"/>
        </w:rPr>
        <w:t>Voraussetzungen gerichtlicher Erkenntnis</w:t>
      </w:r>
      <w:r w:rsidRPr="00B46075">
        <w:rPr>
          <w:rFonts w:ascii="Times New Roman" w:eastAsia="Times New Roman" w:hAnsi="Times New Roman" w:cs="Times New Roman"/>
          <w:kern w:val="0"/>
          <w:lang w:eastAsia="de-DE"/>
          <w14:ligatures w14:val="none"/>
        </w:rPr>
        <w:t>.</w:t>
      </w:r>
    </w:p>
    <w:p w14:paraId="1C9C7392"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Aber: Aus der tatsächlichen Informationsasymmetrie folgt noch nicht automatisch ein gerichtlich durchsetzbarer, vorprozessualer Anspruch auf Zugang zu Archiven, Transkripten, Metadaten und internen Kontrollunterlagen. Genau dort liegt derzeit die größte juristische Lücke.</w:t>
      </w:r>
    </w:p>
    <w:p w14:paraId="390A713F"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ersten Seiten eures Strategiepapiers sind deshalb überzeugender als dessen Schluss: Zunächst werden ein oder wenige sorgfältig ausgewählte Musterverfahren empfohlen; später wird dann doch eine sofortige Verteilung auf 30 Leistungs- und 20 Verpflichtungsklagen vorgeschlagen.</w:t>
      </w:r>
    </w:p>
    <w:p w14:paraId="60A7431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Meine Empfehlung ist eindeutig: Noch keine 50 Klagen einreichen.</w:t>
      </w:r>
      <w:r w:rsidRPr="00B46075">
        <w:rPr>
          <w:rFonts w:ascii="Times New Roman" w:eastAsia="Times New Roman" w:hAnsi="Times New Roman" w:cs="Times New Roman"/>
          <w:kern w:val="0"/>
          <w:lang w:eastAsia="de-DE"/>
          <w14:ligatures w14:val="none"/>
        </w:rPr>
        <w:t xml:space="preserve"> Die 50 Beitragsstopper sind ein gewaltiger strategischer Schatz – aber eher als Datenbestand, Klägerpool und Dokumentation der bisherigen Rechtsprechung als als sofort abzufeuende Klagesalve. Sonst wird aus dem geplanten „Big Bang“ schnell ein juristischer Bumerang.</w:t>
      </w:r>
    </w:p>
    <w:p w14:paraId="0BC6CFCF"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18005EE7">
          <v:rect id="_x0000_i1053" alt="" style="width:453.15pt;height:.05pt;mso-width-percent:0;mso-height-percent:0;mso-width-percent:0;mso-height-percent:0" o:hrpct="999" o:hralign="center" o:hrstd="t" o:hr="t" fillcolor="#a0a0a0" stroked="f"/>
        </w:pict>
      </w:r>
    </w:p>
    <w:p w14:paraId="651EFFFB" w14:textId="77777777" w:rsidR="00B46075" w:rsidRPr="00B46075" w:rsidRDefault="00B46075" w:rsidP="00B46075">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B46075">
        <w:rPr>
          <w:rFonts w:ascii="Times New Roman" w:eastAsia="Times New Roman" w:hAnsi="Times New Roman" w:cs="Times New Roman"/>
          <w:b/>
          <w:bCs/>
          <w:kern w:val="36"/>
          <w:sz w:val="48"/>
          <w:szCs w:val="48"/>
          <w:lang w:eastAsia="de-DE"/>
          <w14:ligatures w14:val="none"/>
        </w:rPr>
        <w:t>1. Die stärkste Idee eurer Strategie</w:t>
      </w:r>
    </w:p>
    <w:p w14:paraId="714F1A78"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Besonders tragfähig ist folgende Argumentationslinie:</w:t>
      </w:r>
    </w:p>
    <w:p w14:paraId="02B76914" w14:textId="77777777" w:rsidR="00B46075" w:rsidRPr="00B46075" w:rsidRDefault="00B46075" w:rsidP="00B46075">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Bundesverwaltungsgericht verlangt grundsätzlich ein wissenschaftlichen Anforderungen genügendes Gutachten.</w:t>
      </w:r>
    </w:p>
    <w:p w14:paraId="5146E4EE" w14:textId="77777777" w:rsidR="00B46075" w:rsidRPr="00B46075" w:rsidRDefault="00B46075" w:rsidP="00B46075">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Dieses Gutachten muss potenzielle evidente und regelmäßige Defizite über einen erheblichen Zeitraum untersuchen.</w:t>
      </w:r>
    </w:p>
    <w:p w14:paraId="27C94EF0" w14:textId="77777777" w:rsidR="00B46075" w:rsidRPr="00B46075" w:rsidRDefault="00B46075" w:rsidP="00B46075">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Bestimmte hierfür relevante Informationen sind öffentlich nicht oder nicht dauerhaft verfügbar.</w:t>
      </w:r>
    </w:p>
    <w:p w14:paraId="70E61AD0" w14:textId="77777777" w:rsidR="00B46075" w:rsidRPr="00B46075" w:rsidRDefault="00B46075" w:rsidP="00B46075">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Deshalb muss konkret geklärt werden, welche Informationen existieren, wo sie liegen, welche davon zugänglich sind und welche Erkenntnisalternativen bestehen.</w:t>
      </w:r>
    </w:p>
    <w:p w14:paraId="469F7E4B"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Diese Fragestellung ist erheblich besser als eine pauschale Forderung nach „allen Rundfunkdaten“.</w:t>
      </w:r>
    </w:p>
    <w:p w14:paraId="6FBCF044"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Strategiedokument erkennt auch selbst, dass die eigentliche Weichenstellung die statthafte Klageart und damit die konkrete Anspruchsgrundlage ist. Dort wird richtigerweise davor gewarnt, sofort 50 Verfahren zu beginnen, bevor ein oder zwei prozessrechtlich sauber konstruierte Musterverfahren getestet wurden.</w:t>
      </w:r>
    </w:p>
    <w:p w14:paraId="3E5A458F"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Genau an dieser ursprünglichen Vorsicht würde ich festhalten.</w:t>
      </w:r>
    </w:p>
    <w:p w14:paraId="282B4529"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6067EF29">
          <v:rect id="_x0000_i1052" style="width:0;height:1.5pt" o:hralign="center" o:hrstd="t" o:hr="t" fillcolor="#a0a0a0" stroked="f"/>
        </w:pict>
      </w:r>
    </w:p>
    <w:p w14:paraId="1F08F0F1" w14:textId="77777777" w:rsidR="00B46075" w:rsidRPr="00B46075" w:rsidRDefault="00B46075" w:rsidP="00B46075">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B46075">
        <w:rPr>
          <w:rFonts w:ascii="Times New Roman" w:eastAsia="Times New Roman" w:hAnsi="Times New Roman" w:cs="Times New Roman"/>
          <w:b/>
          <w:bCs/>
          <w:kern w:val="36"/>
          <w:sz w:val="48"/>
          <w:szCs w:val="48"/>
          <w:lang w:eastAsia="de-DE"/>
          <w14:ligatures w14:val="none"/>
        </w:rPr>
        <w:t>2. Die vier entscheidenden juristischen Probleme</w:t>
      </w:r>
    </w:p>
    <w:p w14:paraId="3510061F"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2.1 Die Klageart ersetzt keine Anspruchsgrundlage</w:t>
      </w:r>
    </w:p>
    <w:p w14:paraId="42C7B26C"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größte Schwachstelle des bisherigen Klageentwurfs ist nicht die Formulierung, sondern das fehlende materielle Fundament.</w:t>
      </w:r>
    </w:p>
    <w:p w14:paraId="0214A6F0"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 xml:space="preserve">Eine allgemeine Leistungsklage ist nur das prozessuale Transportmittel. Sie sagt noch nicht, </w:t>
      </w:r>
      <w:r w:rsidRPr="00B46075">
        <w:rPr>
          <w:rFonts w:ascii="Times New Roman" w:eastAsia="Times New Roman" w:hAnsi="Times New Roman" w:cs="Times New Roman"/>
          <w:b/>
          <w:bCs/>
          <w:kern w:val="0"/>
          <w:lang w:eastAsia="de-DE"/>
          <w14:ligatures w14:val="none"/>
        </w:rPr>
        <w:t>warum</w:t>
      </w:r>
      <w:r w:rsidRPr="00B46075">
        <w:rPr>
          <w:rFonts w:ascii="Times New Roman" w:eastAsia="Times New Roman" w:hAnsi="Times New Roman" w:cs="Times New Roman"/>
          <w:kern w:val="0"/>
          <w:lang w:eastAsia="de-DE"/>
          <w14:ligatures w14:val="none"/>
        </w:rPr>
        <w:t xml:space="preserve"> die Rundfunkanstalt dem Bürger die verlangten Daten schuldet.</w:t>
      </w:r>
    </w:p>
    <w:p w14:paraId="6D55068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Eine Verpflichtungsklage kommt nur in Betracht, wenn der Erlass eines abgelehnten oder unterlassenen Verwaltungsakts begehrt wird und der Kläger eine mögliche Verletzung eigener Rechte geltend machen kann. Das ergibt sich unmittelbar aus § 42 VwGO. (</w:t>
      </w:r>
      <w:hyperlink r:id="rId5" w:tooltip="https://www.gesetze-im-internet.de/vwgo/__42.html" w:history="1">
        <w:r w:rsidRPr="00B46075">
          <w:rPr>
            <w:rFonts w:ascii="Times New Roman" w:eastAsia="Times New Roman" w:hAnsi="Times New Roman" w:cs="Times New Roman"/>
            <w:color w:val="0000FF"/>
            <w:kern w:val="0"/>
            <w:u w:val="single"/>
            <w:lang w:eastAsia="de-DE"/>
            <w14:ligatures w14:val="none"/>
          </w:rPr>
          <w:t>Gesetze im Internet</w:t>
        </w:r>
      </w:hyperlink>
      <w:r w:rsidRPr="00B46075">
        <w:rPr>
          <w:rFonts w:ascii="Times New Roman" w:eastAsia="Times New Roman" w:hAnsi="Times New Roman" w:cs="Times New Roman"/>
          <w:kern w:val="0"/>
          <w:lang w:eastAsia="de-DE"/>
          <w14:ligatures w14:val="none"/>
        </w:rPr>
        <w:t>)</w:t>
      </w:r>
    </w:p>
    <w:p w14:paraId="71E82B81"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Feststellungsklage verlangt ein konkretes Rechtsverhältnis und ein berechtigtes Interesse an baldiger Feststellung. Außerdem ist sie grundsätzlich subsidiär, wenn eine Leistungs- oder Gestaltungsklage möglich ist. (</w:t>
      </w:r>
      <w:hyperlink r:id="rId6" w:tooltip="https://www.gesetze-im-internet.de/vwgo/__43.html" w:history="1">
        <w:r w:rsidRPr="00B46075">
          <w:rPr>
            <w:rFonts w:ascii="Times New Roman" w:eastAsia="Times New Roman" w:hAnsi="Times New Roman" w:cs="Times New Roman"/>
            <w:color w:val="0000FF"/>
            <w:kern w:val="0"/>
            <w:u w:val="single"/>
            <w:lang w:eastAsia="de-DE"/>
            <w14:ligatures w14:val="none"/>
          </w:rPr>
          <w:t>Gesetze im Internet</w:t>
        </w:r>
      </w:hyperlink>
      <w:r w:rsidRPr="00B46075">
        <w:rPr>
          <w:rFonts w:ascii="Times New Roman" w:eastAsia="Times New Roman" w:hAnsi="Times New Roman" w:cs="Times New Roman"/>
          <w:kern w:val="0"/>
          <w:lang w:eastAsia="de-DE"/>
          <w14:ligatures w14:val="none"/>
        </w:rPr>
        <w:t>)</w:t>
      </w:r>
    </w:p>
    <w:p w14:paraId="72D9E920"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 xml:space="preserve">Euer LRA-Antrag räumt selbst zutreffend ein, dass bislang nicht abschließend geklärt ist, ob und in welchem Umfang aus Art. 19 Abs. 4 GG und § 86 VwGO </w:t>
      </w:r>
      <w:r w:rsidRPr="00B46075">
        <w:rPr>
          <w:rFonts w:ascii="Times New Roman" w:eastAsia="Times New Roman" w:hAnsi="Times New Roman" w:cs="Times New Roman"/>
          <w:b/>
          <w:bCs/>
          <w:kern w:val="0"/>
          <w:lang w:eastAsia="de-DE"/>
          <w14:ligatures w14:val="none"/>
        </w:rPr>
        <w:t>vorprozessuale</w:t>
      </w:r>
      <w:r w:rsidRPr="00B46075">
        <w:rPr>
          <w:rFonts w:ascii="Times New Roman" w:eastAsia="Times New Roman" w:hAnsi="Times New Roman" w:cs="Times New Roman"/>
          <w:kern w:val="0"/>
          <w:lang w:eastAsia="de-DE"/>
          <w14:ligatures w14:val="none"/>
        </w:rPr>
        <w:t xml:space="preserve"> Zugangs- oder Mitwirkungspflichten der Rundfunkanstalten folgen.</w:t>
      </w:r>
    </w:p>
    <w:p w14:paraId="2CD154C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Der Klageentwurf springt anschließend jedoch über genau diese ungeklärte Frage hinweg und behauptet relativ apodiktisch, die allgemeine Leistungsklage sei statthaft und der Kläger habe einen Anspruch auf die verlangten Daten.</w:t>
      </w:r>
    </w:p>
    <w:p w14:paraId="75AF3721"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reicht nicht. Vor jeder Klage muss für die betreffende Anstalt geklärt werden:</w:t>
      </w:r>
    </w:p>
    <w:p w14:paraId="5DE2D417" w14:textId="77777777" w:rsidR="00B46075" w:rsidRPr="00B46075" w:rsidRDefault="00B46075" w:rsidP="00B46075">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Welche konkrete Norm vermittelt Zugang?</w:t>
      </w:r>
    </w:p>
    <w:p w14:paraId="61EF4DCC" w14:textId="77777777" w:rsidR="00B46075" w:rsidRPr="00B46075" w:rsidRDefault="00B46075" w:rsidP="00B46075">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Handelt die Rundfunkanstalt dabei öffentlich-rechtlich oder privatrechtlich?</w:t>
      </w:r>
    </w:p>
    <w:p w14:paraId="348863FA" w14:textId="77777777" w:rsidR="00B46075" w:rsidRPr="00B46075" w:rsidRDefault="00B46075" w:rsidP="00B46075">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Soll ein Verwaltungsakt erlassen oder schlicht tatsächlicher Zugang gewährt werden?</w:t>
      </w:r>
    </w:p>
    <w:p w14:paraId="6F7031A1" w14:textId="77777777" w:rsidR="00B46075" w:rsidRPr="00B46075" w:rsidRDefault="00B46075" w:rsidP="00B46075">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Welche Daten fallen überhaupt in den Anwendungsbereich der Anspruchsnorm?</w:t>
      </w:r>
    </w:p>
    <w:p w14:paraId="3E2CD617" w14:textId="77777777" w:rsidR="00B46075" w:rsidRPr="00B46075" w:rsidRDefault="00B46075" w:rsidP="00B46075">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Welche journalistisch-redaktionellen Bereiche sind ausgenommen?</w:t>
      </w:r>
    </w:p>
    <w:p w14:paraId="591DF9B6" w14:textId="77777777" w:rsidR="00B46075" w:rsidRPr="00B46075" w:rsidRDefault="00B46075" w:rsidP="00B46075">
      <w:pPr>
        <w:numPr>
          <w:ilvl w:val="0"/>
          <w:numId w:val="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Welches Gericht ist zuständig?</w:t>
      </w:r>
    </w:p>
    <w:p w14:paraId="6E018E49"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Dass eine Einheitslösung nicht funktioniert, zeigen bereits zwei Beispiele:</w:t>
      </w:r>
    </w:p>
    <w:p w14:paraId="4CBC782F"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Beim WDR findet das Informationsfreiheitsgesetz NRW grundsätzlich Anwendung, allerdings gerade nicht auf journalistisch-redaktionelle Informationen. (</w:t>
      </w:r>
      <w:hyperlink r:id="rId7" w:tooltip="https://recht.nrw.de/lrgv/gesetz/01042026-gesetz-ueber-den-westdeutschen-rundfunk-koeln/" w:history="1">
        <w:r w:rsidRPr="00B46075">
          <w:rPr>
            <w:rFonts w:ascii="Times New Roman" w:eastAsia="Times New Roman" w:hAnsi="Times New Roman" w:cs="Times New Roman"/>
            <w:color w:val="0000FF"/>
            <w:kern w:val="0"/>
            <w:u w:val="single"/>
            <w:lang w:eastAsia="de-DE"/>
            <w14:ligatures w14:val="none"/>
          </w:rPr>
          <w:t>Recht.NRW</w:t>
        </w:r>
      </w:hyperlink>
      <w:r w:rsidRPr="00B46075">
        <w:rPr>
          <w:rFonts w:ascii="Times New Roman" w:eastAsia="Times New Roman" w:hAnsi="Times New Roman" w:cs="Times New Roman"/>
          <w:kern w:val="0"/>
          <w:lang w:eastAsia="de-DE"/>
          <w14:ligatures w14:val="none"/>
        </w:rPr>
        <w:t>)</w:t>
      </w:r>
    </w:p>
    <w:p w14:paraId="755B920A"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Beim Deutschen Rundfunkarchiv ist das Benutzungsverhältnis ausdrücklich privatrechtlicher Natur; zudem entsteht ein Nutzungsrecht erst nach Genehmigung und es besteht kein allgemeiner Rechtsanspruch auf Archivnutzung. (</w:t>
      </w:r>
      <w:hyperlink r:id="rId8" w:tooltip="https://www.dra.de/fileadmin/www.dra.de/downloads/Benutzungsordnung_DRA_mit_Anlage_Datenschutz.pdf" w:history="1">
        <w:r w:rsidRPr="00B46075">
          <w:rPr>
            <w:rFonts w:ascii="Times New Roman" w:eastAsia="Times New Roman" w:hAnsi="Times New Roman" w:cs="Times New Roman"/>
            <w:color w:val="0000FF"/>
            <w:kern w:val="0"/>
            <w:u w:val="single"/>
            <w:lang w:eastAsia="de-DE"/>
            <w14:ligatures w14:val="none"/>
          </w:rPr>
          <w:t>Deutsches Rundfunkarchiv</w:t>
        </w:r>
      </w:hyperlink>
      <w:r w:rsidRPr="00B46075">
        <w:rPr>
          <w:rFonts w:ascii="Times New Roman" w:eastAsia="Times New Roman" w:hAnsi="Times New Roman" w:cs="Times New Roman"/>
          <w:kern w:val="0"/>
          <w:lang w:eastAsia="de-DE"/>
          <w14:ligatures w14:val="none"/>
        </w:rPr>
        <w:t>)</w:t>
      </w:r>
    </w:p>
    <w:p w14:paraId="54FE8A35"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Damit können eine WDR-Informationsklage, ein DRA-Archivstreit und eine Klage gegen eine andere Landesrundfunkanstalt weder auf dieselbe Anspruchsgrundlage noch automatisch auf dieselbe Klageart gestützt werden.</w:t>
      </w:r>
    </w:p>
    <w:p w14:paraId="440907C4"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0477C7F5">
          <v:rect id="_x0000_i1051" style="width:0;height:1.5pt" o:hralign="center" o:hrstd="t" o:hr="t" fillcolor="#a0a0a0" stroked="f"/>
        </w:pict>
      </w:r>
    </w:p>
    <w:p w14:paraId="297BD55A"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2.2 Der Hilfsantrag zur „objektiven Unmöglichkeit“ kollidiert mit dem Bundesverwaltungsgericht</w:t>
      </w:r>
    </w:p>
    <w:p w14:paraId="0EB4ADCC"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Der derzeitige Klageentwurf beantragt hilfsweise die Feststellung, der Kläger sei ohne Zugang zu den Daten tatsächlich und rechtlich nicht in der Lage, den geforderten Vortrag zu führen. Noch weitergehend soll festgestellt werden, es sei mit Art. 19 Abs. 4 GG unvereinbar, den wissenschaftlichen Vortrag ohne Herausgabe der Daten zu verlangen.</w:t>
      </w:r>
    </w:p>
    <w:p w14:paraId="447C2541"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ist in dieser Absolutheit gefährlich.</w:t>
      </w:r>
    </w:p>
    <w:p w14:paraId="69AE06A7"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Bundesverwaltungsgericht hat ausdrücklich formuliert:</w:t>
      </w:r>
    </w:p>
    <w:p w14:paraId="54421EEA"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 xml:space="preserve">Die Darlegung eines evidenten und regelmäßigen Zurückfallens hinter die 2018 vorhandene Ausgewogenheit und Vielfalt stelle </w:t>
      </w:r>
      <w:r w:rsidRPr="00B46075">
        <w:rPr>
          <w:rFonts w:ascii="Times New Roman" w:eastAsia="Times New Roman" w:hAnsi="Times New Roman" w:cs="Times New Roman"/>
          <w:b/>
          <w:bCs/>
          <w:kern w:val="0"/>
          <w:lang w:eastAsia="de-DE"/>
          <w14:ligatures w14:val="none"/>
        </w:rPr>
        <w:t>keine für einen Kläger unüberwindbare prozessuale Hürde</w:t>
      </w:r>
      <w:r w:rsidRPr="00B46075">
        <w:rPr>
          <w:rFonts w:ascii="Times New Roman" w:eastAsia="Times New Roman" w:hAnsi="Times New Roman" w:cs="Times New Roman"/>
          <w:kern w:val="0"/>
          <w:lang w:eastAsia="de-DE"/>
          <w14:ligatures w14:val="none"/>
        </w:rPr>
        <w:t xml:space="preserve"> dar.</w:t>
      </w:r>
    </w:p>
    <w:p w14:paraId="07A8E694"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Zugleich verlangt es regelmäßig ein wissenschaftlichen Anforderungen genügendes Gutachten mit geeigneten Indikatoren. (</w:t>
      </w:r>
      <w:hyperlink r:id="rId9" w:tooltip="BVerwG 6 C 5.24, Urteil vom 15. Oktober 2025 | Bundesverwaltungsgericht" w:history="1">
        <w:r w:rsidRPr="00B46075">
          <w:rPr>
            <w:rFonts w:ascii="Times New Roman" w:eastAsia="Times New Roman" w:hAnsi="Times New Roman" w:cs="Times New Roman"/>
            <w:color w:val="0000FF"/>
            <w:kern w:val="0"/>
            <w:u w:val="single"/>
            <w:lang w:eastAsia="de-DE"/>
            <w14:ligatures w14:val="none"/>
          </w:rPr>
          <w:t>Bundesverwaltungsgericht</w:t>
        </w:r>
      </w:hyperlink>
      <w:r w:rsidRPr="00B46075">
        <w:rPr>
          <w:rFonts w:ascii="Times New Roman" w:eastAsia="Times New Roman" w:hAnsi="Times New Roman" w:cs="Times New Roman"/>
          <w:kern w:val="0"/>
          <w:lang w:eastAsia="de-DE"/>
          <w14:ligatures w14:val="none"/>
        </w:rPr>
        <w:t>)</w:t>
      </w:r>
    </w:p>
    <w:p w14:paraId="75A280FF"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 Gericht könnte euren Hilfsantrag deshalb mit einem einzigen Satz zurückweisen:</w:t>
      </w:r>
    </w:p>
    <w:p w14:paraId="763BB08B"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Bundesverwaltungsgericht hat bereits entschieden, dass die Hürde nicht unüberwindbar ist.“</w:t>
      </w:r>
    </w:p>
    <w:p w14:paraId="6AF0B2B7"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Auch die Informationsfreiheit vermittelt nach dem Urteil kein Recht darauf, eine bislang nicht allgemein zugängliche Informationsquelle erst eröffnen zu lassen. (</w:t>
      </w:r>
      <w:hyperlink r:id="rId10" w:tooltip="https://www.bverwg.de/151025U6C5.24.0" w:history="1">
        <w:r w:rsidRPr="00B46075">
          <w:rPr>
            <w:rFonts w:ascii="Times New Roman" w:eastAsia="Times New Roman" w:hAnsi="Times New Roman" w:cs="Times New Roman"/>
            <w:color w:val="0000FF"/>
            <w:kern w:val="0"/>
            <w:u w:val="single"/>
            <w:lang w:eastAsia="de-DE"/>
            <w14:ligatures w14:val="none"/>
          </w:rPr>
          <w:t>Bundesverwaltungsgericht</w:t>
        </w:r>
      </w:hyperlink>
      <w:r w:rsidRPr="00B46075">
        <w:rPr>
          <w:rFonts w:ascii="Times New Roman" w:eastAsia="Times New Roman" w:hAnsi="Times New Roman" w:cs="Times New Roman"/>
          <w:kern w:val="0"/>
          <w:lang w:eastAsia="de-DE"/>
          <w14:ligatures w14:val="none"/>
        </w:rPr>
        <w:t>)</w:t>
      </w:r>
    </w:p>
    <w:p w14:paraId="2F04F7D0"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 xml:space="preserve">Die Formulierung </w:t>
      </w:r>
      <w:r w:rsidRPr="00B46075">
        <w:rPr>
          <w:rFonts w:ascii="Times New Roman" w:eastAsia="Times New Roman" w:hAnsi="Times New Roman" w:cs="Times New Roman"/>
          <w:b/>
          <w:bCs/>
          <w:kern w:val="0"/>
          <w:lang w:eastAsia="de-DE"/>
          <w14:ligatures w14:val="none"/>
        </w:rPr>
        <w:t>„objektiv unmöglich“</w:t>
      </w:r>
      <w:r w:rsidRPr="00B46075">
        <w:rPr>
          <w:rFonts w:ascii="Times New Roman" w:eastAsia="Times New Roman" w:hAnsi="Times New Roman" w:cs="Times New Roman"/>
          <w:kern w:val="0"/>
          <w:lang w:eastAsia="de-DE"/>
          <w14:ligatures w14:val="none"/>
        </w:rPr>
        <w:t xml:space="preserve"> sollte deshalb aus Klageantrag und Kernargumentation verschwinden.</w:t>
      </w:r>
    </w:p>
    <w:p w14:paraId="6CA3BE9A"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Besser wäre:</w:t>
      </w:r>
    </w:p>
    <w:p w14:paraId="60D40431"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„Ohne Zugang zu den konkret bezeichneten, öffentlich nicht verfügbaren Datenkategorien ist eine methodisch reproduzierbare und den Anforderungen des Bundesverwaltungsgerichts entsprechende Untersuchung erheblich erschwert und nur mit unverhältnismäßigem Aufwand oder in wesentlichen Teilen nicht zuverlässig durchführbar.“</w:t>
      </w:r>
    </w:p>
    <w:p w14:paraId="40B1BB5F"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ist weniger spektakulär, aber juristisch wesentlich belastbarer.</w:t>
      </w:r>
    </w:p>
    <w:p w14:paraId="7D6DF0B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 xml:space="preserve">Auch der Begriff </w:t>
      </w:r>
      <w:r w:rsidRPr="00B46075">
        <w:rPr>
          <w:rFonts w:ascii="Times New Roman" w:eastAsia="Times New Roman" w:hAnsi="Times New Roman" w:cs="Times New Roman"/>
          <w:b/>
          <w:bCs/>
          <w:kern w:val="0"/>
          <w:lang w:eastAsia="de-DE"/>
          <w14:ligatures w14:val="none"/>
        </w:rPr>
        <w:t>„digitaler Beweisnotstand“</w:t>
      </w:r>
      <w:r w:rsidRPr="00B46075">
        <w:rPr>
          <w:rFonts w:ascii="Times New Roman" w:eastAsia="Times New Roman" w:hAnsi="Times New Roman" w:cs="Times New Roman"/>
          <w:kern w:val="0"/>
          <w:lang w:eastAsia="de-DE"/>
          <w14:ligatures w14:val="none"/>
        </w:rPr>
        <w:t xml:space="preserve"> sollte nur als beschreibender Arbeitsbegriff verwendet werden – nicht als angeblich bereits anerkannte neue Rechtsfigur. Eure Grundlagenuntersuchung sagt selbst, dass die entwickelten Modelle keine neue eigenständige Prozessregel schaffen und die hergebrachten Darlegungs- und Beweislastregeln nicht verändern.</w:t>
      </w:r>
    </w:p>
    <w:p w14:paraId="7DB9A2EE"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3DFF9804">
          <v:rect id="_x0000_i1050" style="width:0;height:1.5pt" o:hralign="center" o:hrstd="t" o:hr="t" fillcolor="#a0a0a0" stroked="f"/>
        </w:pict>
      </w:r>
    </w:p>
    <w:p w14:paraId="55AC72AE"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2.3 Untersuchungsgegenstand und Untersuchungszeitraum passen noch nicht zusammen</w:t>
      </w:r>
    </w:p>
    <w:p w14:paraId="53B85E8B"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 xml:space="preserve">Das Bundesverwaltungsgericht verlangt nicht die Prüfung einer einzelnen Landesrundfunkanstalt. Maßgeblich ist das aus Hörfunk, Fernsehen und Telemedien bestehende </w:t>
      </w:r>
      <w:r w:rsidRPr="00B46075">
        <w:rPr>
          <w:rFonts w:ascii="Times New Roman" w:eastAsia="Times New Roman" w:hAnsi="Times New Roman" w:cs="Times New Roman"/>
          <w:b/>
          <w:bCs/>
          <w:kern w:val="0"/>
          <w:lang w:eastAsia="de-DE"/>
          <w14:ligatures w14:val="none"/>
        </w:rPr>
        <w:t>Gesamtprogrammangebot aller beitragsfinanzierten öffentlich-rechtlichen Rundfunkveranstalter</w:t>
      </w:r>
      <w:r w:rsidRPr="00B46075">
        <w:rPr>
          <w:rFonts w:ascii="Times New Roman" w:eastAsia="Times New Roman" w:hAnsi="Times New Roman" w:cs="Times New Roman"/>
          <w:kern w:val="0"/>
          <w:lang w:eastAsia="de-DE"/>
          <w14:ligatures w14:val="none"/>
        </w:rPr>
        <w:t>. Defizite einer Anstalt können durch Angebote anderer Anstalten kompensiert werden. Eine Beschränkung auf einzelne Themenfelder oder Formate reicht nicht. (</w:t>
      </w:r>
      <w:hyperlink r:id="rId11" w:tooltip="https://www.bverwg.de/151025U6C5.24.0" w:history="1">
        <w:r w:rsidRPr="00B46075">
          <w:rPr>
            <w:rFonts w:ascii="Times New Roman" w:eastAsia="Times New Roman" w:hAnsi="Times New Roman" w:cs="Times New Roman"/>
            <w:color w:val="0000FF"/>
            <w:kern w:val="0"/>
            <w:u w:val="single"/>
            <w:lang w:eastAsia="de-DE"/>
            <w14:ligatures w14:val="none"/>
          </w:rPr>
          <w:t>Bundesverwaltungsgericht</w:t>
        </w:r>
      </w:hyperlink>
      <w:r w:rsidRPr="00B46075">
        <w:rPr>
          <w:rFonts w:ascii="Times New Roman" w:eastAsia="Times New Roman" w:hAnsi="Times New Roman" w:cs="Times New Roman"/>
          <w:kern w:val="0"/>
          <w:lang w:eastAsia="de-DE"/>
          <w14:ligatures w14:val="none"/>
        </w:rPr>
        <w:t>)</w:t>
      </w:r>
    </w:p>
    <w:p w14:paraId="630FD27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Außerdem soll der Untersuchungszeitraum mindestens zwei Jahre umfassen und mit demjenigen Zeitraum enden, für den im angefochtenen Bescheid Beiträge festgesetzt wurden. (</w:t>
      </w:r>
      <w:hyperlink r:id="rId12" w:tooltip="https://www.bverwg.de/151025U6C5.24.0" w:history="1">
        <w:r w:rsidRPr="00B46075">
          <w:rPr>
            <w:rFonts w:ascii="Times New Roman" w:eastAsia="Times New Roman" w:hAnsi="Times New Roman" w:cs="Times New Roman"/>
            <w:color w:val="0000FF"/>
            <w:kern w:val="0"/>
            <w:u w:val="single"/>
            <w:lang w:eastAsia="de-DE"/>
            <w14:ligatures w14:val="none"/>
          </w:rPr>
          <w:t>Bundesverwaltungsgericht</w:t>
        </w:r>
      </w:hyperlink>
      <w:r w:rsidRPr="00B46075">
        <w:rPr>
          <w:rFonts w:ascii="Times New Roman" w:eastAsia="Times New Roman" w:hAnsi="Times New Roman" w:cs="Times New Roman"/>
          <w:kern w:val="0"/>
          <w:lang w:eastAsia="de-DE"/>
          <w14:ligatures w14:val="none"/>
        </w:rPr>
        <w:t>)</w:t>
      </w:r>
    </w:p>
    <w:p w14:paraId="7109DC25"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Eure Anträge sind dagegen einheitlich auf den Zeitraum 1. Januar 2024 bis 31. Dezember 2025 ausgerichtet.</w:t>
      </w:r>
    </w:p>
    <w:p w14:paraId="224F6B22"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funktioniert nur für Kläger, deren beitragsrechtlich maßgeblicher Zeitraum hierzu passt. Für 50 Kläger mit unterschiedlichen Bescheiden, Festsetzungszeiträumen und rechtskräftig abgeschlossenen Verfahren kann der identische Zeitraum nicht pauschal verwendet werden.</w:t>
      </w:r>
    </w:p>
    <w:p w14:paraId="5BCDBC3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Hinzu kommt:</w:t>
      </w:r>
    </w:p>
    <w:p w14:paraId="7EBA3AA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Der Antrag an die jeweilige Landesrundfunkanstalt beschränkt sich richtigerweise auf deren eigene Verfügungs- und Verantwortungssphäre.</w:t>
      </w:r>
    </w:p>
    <w:p w14:paraId="496A27F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ist für den einzelnen Zugangsantrag sauber. Aber damit liefert keine einzelne Klage den vollständigen Datenbestand, den die vom Bundesverwaltungsgericht beschriebene Gesamtbetrachtung erfordert.</w:t>
      </w:r>
    </w:p>
    <w:p w14:paraId="088BE0DC"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Daraus folgt:</w:t>
      </w:r>
    </w:p>
    <w:p w14:paraId="793E1F40"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Ihr braucht nicht 50 voneinander isolierte Forschungsprojekte, sondern ein zentrales, anstaltsübergreifendes Forschungsprojekt mit verteilten Datenzugängen.</w:t>
      </w:r>
    </w:p>
    <w:p w14:paraId="5F41D774"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Außerdem sollte das Forschungsdesign ausdrücklich einen Vergleichsmaßstab für das Programmangebot um 2018 einbauen. Das Bundesverwaltungsgericht nennt das damalige Programmangebot ausdrücklich als mögliche Referenz. (</w:t>
      </w:r>
      <w:hyperlink r:id="rId13" w:tooltip="BVerwG 6 C 5.24, Urteil vom 15. Oktober 2025 | Bundesverwaltungsgericht" w:history="1">
        <w:r w:rsidRPr="00B46075">
          <w:rPr>
            <w:rFonts w:ascii="Times New Roman" w:eastAsia="Times New Roman" w:hAnsi="Times New Roman" w:cs="Times New Roman"/>
            <w:color w:val="0000FF"/>
            <w:kern w:val="0"/>
            <w:u w:val="single"/>
            <w:lang w:eastAsia="de-DE"/>
            <w14:ligatures w14:val="none"/>
          </w:rPr>
          <w:t>Bundesverwaltungsgericht</w:t>
        </w:r>
      </w:hyperlink>
      <w:r w:rsidRPr="00B46075">
        <w:rPr>
          <w:rFonts w:ascii="Times New Roman" w:eastAsia="Times New Roman" w:hAnsi="Times New Roman" w:cs="Times New Roman"/>
          <w:kern w:val="0"/>
          <w:lang w:eastAsia="de-DE"/>
          <w14:ligatures w14:val="none"/>
        </w:rPr>
        <w:t>)</w:t>
      </w:r>
    </w:p>
    <w:p w14:paraId="7BF36B0F"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01A4EE96">
          <v:rect id="_x0000_i1049" style="width:0;height:1.5pt" o:hralign="center" o:hrstd="t" o:hr="t" fillcolor="#a0a0a0" stroked="f"/>
        </w:pict>
      </w:r>
    </w:p>
    <w:p w14:paraId="445F0A32"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2.4 Die Behauptung vollständiger Datenherrschaft ist zu absolut</w:t>
      </w:r>
    </w:p>
    <w:p w14:paraId="0D1701A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In eurem HR-Erwiderungsentwurf wird behauptet, der Hessische Rundfunk verfüge allein über „sämtliche“ Archive, Metadaten, Manuskripte, Rohfassungen, Schnittfassungen, Löschprotokolle, Suchdaten und Wiederholungsausstrahlungen.</w:t>
      </w:r>
    </w:p>
    <w:p w14:paraId="46A6FCD8"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kann im Einzelfall teilweise richtig sein. Belegt ist es bislang jedoch nicht.</w:t>
      </w:r>
    </w:p>
    <w:p w14:paraId="0F3EC583"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ARD selbst erklärt:</w:t>
      </w:r>
    </w:p>
    <w:p w14:paraId="762BDA4D" w14:textId="77777777" w:rsidR="00B46075" w:rsidRPr="00B46075" w:rsidRDefault="00B46075" w:rsidP="00B46075">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Es gibt kein zentrales Archiv aller ARD-Produktionen.</w:t>
      </w:r>
    </w:p>
    <w:p w14:paraId="0B62A028" w14:textId="77777777" w:rsidR="00B46075" w:rsidRPr="00B46075" w:rsidRDefault="00B46075" w:rsidP="00B46075">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Bestände liegen dezentral bei den jeweils produzierenden Anstalten.</w:t>
      </w:r>
    </w:p>
    <w:p w14:paraId="61A6CC76" w14:textId="77777777" w:rsidR="00B46075" w:rsidRPr="00B46075" w:rsidRDefault="00B46075" w:rsidP="00B46075">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Fernsehprogramm wird heute zwar nahezu vollständig archiviert.</w:t>
      </w:r>
    </w:p>
    <w:p w14:paraId="56FEB1F8" w14:textId="77777777" w:rsidR="00B46075" w:rsidRPr="00B46075" w:rsidRDefault="00B46075" w:rsidP="00B46075">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Hörfunkprogramme werden dagegen teilweise nur selektiv aufbewahrt.</w:t>
      </w:r>
    </w:p>
    <w:p w14:paraId="03FE4E8A" w14:textId="77777777" w:rsidR="00B46075" w:rsidRPr="00B46075" w:rsidRDefault="00B46075" w:rsidP="00B46075">
      <w:pPr>
        <w:numPr>
          <w:ilvl w:val="0"/>
          <w:numId w:val="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Überlieferungslage ist insgesamt heterogen. (</w:t>
      </w:r>
      <w:hyperlink r:id="rId14" w:tooltip="https://www.ard.de/die-ard/presse-kontakt/archive/archivzugang-fuer-wissenschaft-und-forschung-100.html" w:history="1">
        <w:r w:rsidRPr="00B46075">
          <w:rPr>
            <w:rFonts w:ascii="Times New Roman" w:eastAsia="Times New Roman" w:hAnsi="Times New Roman" w:cs="Times New Roman"/>
            <w:color w:val="0000FF"/>
            <w:kern w:val="0"/>
            <w:u w:val="single"/>
            <w:lang w:eastAsia="de-DE"/>
            <w14:ligatures w14:val="none"/>
          </w:rPr>
          <w:t>ard.de</w:t>
        </w:r>
      </w:hyperlink>
      <w:r w:rsidRPr="00B46075">
        <w:rPr>
          <w:rFonts w:ascii="Times New Roman" w:eastAsia="Times New Roman" w:hAnsi="Times New Roman" w:cs="Times New Roman"/>
          <w:kern w:val="0"/>
          <w:lang w:eastAsia="de-DE"/>
          <w14:ligatures w14:val="none"/>
        </w:rPr>
        <w:t>)</w:t>
      </w:r>
    </w:p>
    <w:p w14:paraId="4E17B6A2"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Damit ist die Aussage „sämtliche Daten liegen vollständig beim HR“ angreifbar. Ein Gegner muss dann nur auf eine einzige Datenkategorie verweisen, die nicht vorhanden oder nicht beim HR verwaltet wird – und schon wirkt die gesamte Darstellung überzogen.</w:t>
      </w:r>
    </w:p>
    <w:p w14:paraId="7EC64F05"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 xml:space="preserve">Der richtige erste Schritt ist deshalb nicht die Forderung nach allem, sondern ein </w:t>
      </w:r>
      <w:r w:rsidRPr="00B46075">
        <w:rPr>
          <w:rFonts w:ascii="Times New Roman" w:eastAsia="Times New Roman" w:hAnsi="Times New Roman" w:cs="Times New Roman"/>
          <w:b/>
          <w:bCs/>
          <w:kern w:val="0"/>
          <w:lang w:eastAsia="de-DE"/>
          <w14:ligatures w14:val="none"/>
        </w:rPr>
        <w:t>Bestands- und Strukturanspruch</w:t>
      </w:r>
      <w:r w:rsidRPr="00B46075">
        <w:rPr>
          <w:rFonts w:ascii="Times New Roman" w:eastAsia="Times New Roman" w:hAnsi="Times New Roman" w:cs="Times New Roman"/>
          <w:kern w:val="0"/>
          <w:lang w:eastAsia="de-DE"/>
          <w14:ligatures w14:val="none"/>
        </w:rPr>
        <w:t>, soweit dafür eine Rechtsgrundlage besteht:</w:t>
      </w:r>
    </w:p>
    <w:p w14:paraId="18D281C8" w14:textId="77777777" w:rsidR="00B46075" w:rsidRPr="00B46075" w:rsidRDefault="00B46075" w:rsidP="00B46075">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Welche Datenkategorien existieren?</w:t>
      </w:r>
    </w:p>
    <w:p w14:paraId="5EC99F02" w14:textId="77777777" w:rsidR="00B46075" w:rsidRPr="00B46075" w:rsidRDefault="00B46075" w:rsidP="00B46075">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Für welche Zeiträume?</w:t>
      </w:r>
    </w:p>
    <w:p w14:paraId="77E60942" w14:textId="77777777" w:rsidR="00B46075" w:rsidRPr="00B46075" w:rsidRDefault="00B46075" w:rsidP="00B46075">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In welchen Formaten?</w:t>
      </w:r>
    </w:p>
    <w:p w14:paraId="4EFE1AA4" w14:textId="77777777" w:rsidR="00B46075" w:rsidRPr="00B46075" w:rsidRDefault="00B46075" w:rsidP="00B46075">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Bei welcher Organisationseinheit?</w:t>
      </w:r>
    </w:p>
    <w:p w14:paraId="0550F48D" w14:textId="77777777" w:rsidR="00B46075" w:rsidRPr="00B46075" w:rsidRDefault="00B46075" w:rsidP="00B46075">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Nach welchen Aufbewahrungs- und Löschfristen?</w:t>
      </w:r>
    </w:p>
    <w:p w14:paraId="0DC27914" w14:textId="77777777" w:rsidR="00B46075" w:rsidRPr="00B46075" w:rsidRDefault="00B46075" w:rsidP="00B46075">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Welche Recherche- oder Exportmöglichkeiten bestehen?</w:t>
      </w:r>
    </w:p>
    <w:p w14:paraId="78AB9C0D" w14:textId="77777777" w:rsidR="00B46075" w:rsidRPr="00B46075" w:rsidRDefault="00B46075" w:rsidP="00B46075">
      <w:pPr>
        <w:numPr>
          <w:ilvl w:val="0"/>
          <w:numId w:val="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Welche Bestände sind öffentlich, wissenschaftlich, intern oder überhaupt nicht zugänglich?</w:t>
      </w:r>
    </w:p>
    <w:p w14:paraId="6A8E89D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Euer Archiv-Antrag geht bereits in diese Richtung und ist deshalb deutlich besser als der derzeitige Klageantrag.</w:t>
      </w:r>
    </w:p>
    <w:p w14:paraId="794C001B"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7539C3B4">
          <v:rect id="_x0000_i1048" style="width:0;height:1.5pt" o:hralign="center" o:hrstd="t" o:hr="t" fillcolor="#a0a0a0" stroked="f"/>
        </w:pict>
      </w:r>
    </w:p>
    <w:p w14:paraId="73AD12AD" w14:textId="77777777" w:rsidR="00B46075" w:rsidRPr="00B46075" w:rsidRDefault="00B46075" w:rsidP="00B46075">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B46075">
        <w:rPr>
          <w:rFonts w:ascii="Times New Roman" w:eastAsia="Times New Roman" w:hAnsi="Times New Roman" w:cs="Times New Roman"/>
          <w:b/>
          <w:bCs/>
          <w:kern w:val="36"/>
          <w:sz w:val="48"/>
          <w:szCs w:val="48"/>
          <w:lang w:eastAsia="de-DE"/>
          <w14:ligatures w14:val="none"/>
        </w:rPr>
        <w:t>3. Bedeutung der bereits abgeschlossenen 50 Gerichtsverfahren</w:t>
      </w:r>
    </w:p>
    <w:p w14:paraId="51B27540"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3.1 Die Gutachten sind nicht „verbraucht“</w:t>
      </w:r>
    </w:p>
    <w:p w14:paraId="46490293"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Dass ein Gutachten bereits in einem früheren Verfahren vorgelegt wurde, macht es nicht generell unbrauchbar.</w:t>
      </w:r>
    </w:p>
    <w:p w14:paraId="79F49193"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 Privatgutachten ist nach der Rechtsprechung des Bundesgerichtshofs grundsätzlich kein gerichtliches Sachverständigenbeweismittel, sondern qualifizierter Parteivortrag. (</w:t>
      </w:r>
      <w:hyperlink r:id="rId15" w:tooltip="https://juris.bundesgerichtshof.de/cgi-bin/bgh_notp/document.py?Art=en&amp;Datum=2000-1&amp;Gericht=bgh&amp;Sort=1&amp;anz=105&amp;nr=3252&amp;pos=4" w:history="1">
        <w:r w:rsidRPr="00B46075">
          <w:rPr>
            <w:rFonts w:ascii="Times New Roman" w:eastAsia="Times New Roman" w:hAnsi="Times New Roman" w:cs="Times New Roman"/>
            <w:color w:val="0000FF"/>
            <w:kern w:val="0"/>
            <w:u w:val="single"/>
            <w:lang w:eastAsia="de-DE"/>
            <w14:ligatures w14:val="none"/>
          </w:rPr>
          <w:t>Juris Bundesgerichtshof</w:t>
        </w:r>
      </w:hyperlink>
      <w:r w:rsidRPr="00B46075">
        <w:rPr>
          <w:rFonts w:ascii="Times New Roman" w:eastAsia="Times New Roman" w:hAnsi="Times New Roman" w:cs="Times New Roman"/>
          <w:kern w:val="0"/>
          <w:lang w:eastAsia="de-DE"/>
          <w14:ligatures w14:val="none"/>
        </w:rPr>
        <w:t>)</w:t>
      </w:r>
    </w:p>
    <w:p w14:paraId="36819BE1"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Qualifizierter Parteivortrag kann in verschiedenen Verfahren erneut verwendet werden, sofern er für den jeweiligen Streitgegenstand relevant ist.</w:t>
      </w:r>
    </w:p>
    <w:p w14:paraId="2545DABC"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Rechtskräftige Urteile binden nach § 121 VwGO aber die Beteiligten, soweit über den damaligen Streitgegenstand entschieden worden ist. (</w:t>
      </w:r>
      <w:hyperlink r:id="rId16" w:tooltip="https://www.gesetze-im-internet.de/vwgo/__121.html" w:history="1">
        <w:r w:rsidRPr="00B46075">
          <w:rPr>
            <w:rFonts w:ascii="Times New Roman" w:eastAsia="Times New Roman" w:hAnsi="Times New Roman" w:cs="Times New Roman"/>
            <w:color w:val="0000FF"/>
            <w:kern w:val="0"/>
            <w:u w:val="single"/>
            <w:lang w:eastAsia="de-DE"/>
            <w14:ligatures w14:val="none"/>
          </w:rPr>
          <w:t>Gesetze im Internet</w:t>
        </w:r>
      </w:hyperlink>
      <w:r w:rsidRPr="00B46075">
        <w:rPr>
          <w:rFonts w:ascii="Times New Roman" w:eastAsia="Times New Roman" w:hAnsi="Times New Roman" w:cs="Times New Roman"/>
          <w:kern w:val="0"/>
          <w:lang w:eastAsia="de-DE"/>
          <w14:ligatures w14:val="none"/>
        </w:rPr>
        <w:t>)</w:t>
      </w:r>
    </w:p>
    <w:p w14:paraId="03E52987"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Daraus folgt für euch:</w:t>
      </w:r>
    </w:p>
    <w:p w14:paraId="0976E19C" w14:textId="77777777" w:rsidR="00B46075" w:rsidRPr="00B46075" w:rsidRDefault="00B46075" w:rsidP="00B46075">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 xml:space="preserve">Die früheren Gutachten dürfen in einem </w:t>
      </w:r>
      <w:r w:rsidRPr="00B46075">
        <w:rPr>
          <w:rFonts w:ascii="Times New Roman" w:eastAsia="Times New Roman" w:hAnsi="Times New Roman" w:cs="Times New Roman"/>
          <w:b/>
          <w:bCs/>
          <w:kern w:val="0"/>
          <w:lang w:eastAsia="de-DE"/>
          <w14:ligatures w14:val="none"/>
        </w:rPr>
        <w:t>neuen, eigenständigen Datenzugangsverfahren</w:t>
      </w:r>
      <w:r w:rsidRPr="00B46075">
        <w:rPr>
          <w:rFonts w:ascii="Times New Roman" w:eastAsia="Times New Roman" w:hAnsi="Times New Roman" w:cs="Times New Roman"/>
          <w:kern w:val="0"/>
          <w:lang w:eastAsia="de-DE"/>
          <w14:ligatures w14:val="none"/>
        </w:rPr>
        <w:t xml:space="preserve"> grundsätzlich erneut verwendet werden.</w:t>
      </w:r>
    </w:p>
    <w:p w14:paraId="30B9CEAD" w14:textId="77777777" w:rsidR="00B46075" w:rsidRPr="00B46075" w:rsidRDefault="00B46075" w:rsidP="00B46075">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Sie eröffnen aber nicht erneut die bereits rechtskräftig entschiedene alte Beitragsklage.</w:t>
      </w:r>
    </w:p>
    <w:p w14:paraId="633A94BE" w14:textId="77777777" w:rsidR="00B46075" w:rsidRPr="00B46075" w:rsidRDefault="00B46075" w:rsidP="00B46075">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Sie sind kein „neues Beweismittel“ für eine Wiederaufnahme, wenn sie damals schon vorlagen.</w:t>
      </w:r>
    </w:p>
    <w:p w14:paraId="59692B51" w14:textId="77777777" w:rsidR="00B46075" w:rsidRPr="00B46075" w:rsidRDefault="00B46075" w:rsidP="00B46075">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 neuer Zugangsantrag und dessen neue Ablehnung können einen neuen Lebenssachverhalt und einen neuen Streitgegenstand begründen.</w:t>
      </w:r>
    </w:p>
    <w:p w14:paraId="32AFAAA7" w14:textId="77777777" w:rsidR="00B46075" w:rsidRPr="00B46075" w:rsidRDefault="00B46075" w:rsidP="00B46075">
      <w:pPr>
        <w:numPr>
          <w:ilvl w:val="0"/>
          <w:numId w:val="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Eine bloße Umbenennung der früheren Programmrüge in „Datenzugangsklage“ reicht dagegen nicht.</w:t>
      </w:r>
    </w:p>
    <w:p w14:paraId="1832958C"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Ob im Einzelfall Rechtskraft, Präklusion oder ein fehlendes Rechtsschutzbedürfnis entgegensteht, lässt sich erst beurteilen, wenn die Urteile und Beschlüsse der 50 Kläger vollständig ausgewertet wurden.</w:t>
      </w:r>
    </w:p>
    <w:p w14:paraId="679FDD45"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ist die größte derzeit noch offene Informationslücke.</w:t>
      </w:r>
    </w:p>
    <w:p w14:paraId="7AF88FDB"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122CD94D">
          <v:rect id="_x0000_i1047" style="width:0;height:1.5pt" o:hralign="center" o:hrstd="t" o:hr="t" fillcolor="#a0a0a0" stroked="f"/>
        </w:pict>
      </w:r>
    </w:p>
    <w:p w14:paraId="2CB3C510"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3.2 Die bisherigen gerichtlichen Reaktionen müssen transparent dokumentiert werden</w:t>
      </w:r>
    </w:p>
    <w:p w14:paraId="079BBE13"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Jedes Gutachten sollte künftig eine Vorverwendungstabelle erhalten: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0"/>
        <w:gridCol w:w="6906"/>
      </w:tblGrid>
      <w:tr w:rsidR="00B46075" w:rsidRPr="00B46075" w14:paraId="52F214A6" w14:textId="77777777">
        <w:trPr>
          <w:tblHeader/>
          <w:tblCellSpacing w:w="15" w:type="dxa"/>
        </w:trPr>
        <w:tc>
          <w:tcPr>
            <w:tcW w:w="0" w:type="auto"/>
            <w:vAlign w:val="center"/>
            <w:hideMark/>
          </w:tcPr>
          <w:p w14:paraId="7CD78869" w14:textId="77777777" w:rsidR="00B46075" w:rsidRPr="00B46075" w:rsidRDefault="00B46075" w:rsidP="00B46075">
            <w:pPr>
              <w:jc w:val="center"/>
              <w:rPr>
                <w:rFonts w:ascii="Times New Roman" w:eastAsia="Times New Roman" w:hAnsi="Times New Roman" w:cs="Times New Roman"/>
                <w:b/>
                <w:bCs/>
                <w:kern w:val="0"/>
                <w:lang w:eastAsia="de-DE"/>
                <w14:ligatures w14:val="none"/>
              </w:rPr>
            </w:pPr>
            <w:r w:rsidRPr="00B46075">
              <w:rPr>
                <w:rFonts w:ascii="Times New Roman" w:eastAsia="Times New Roman" w:hAnsi="Times New Roman" w:cs="Times New Roman"/>
                <w:b/>
                <w:bCs/>
                <w:kern w:val="0"/>
                <w:lang w:eastAsia="de-DE"/>
                <w14:ligatures w14:val="none"/>
              </w:rPr>
              <w:t>Punkt</w:t>
            </w:r>
          </w:p>
        </w:tc>
        <w:tc>
          <w:tcPr>
            <w:tcW w:w="0" w:type="auto"/>
            <w:vAlign w:val="center"/>
            <w:hideMark/>
          </w:tcPr>
          <w:p w14:paraId="7399161C" w14:textId="77777777" w:rsidR="00B46075" w:rsidRPr="00B46075" w:rsidRDefault="00B46075" w:rsidP="00B46075">
            <w:pPr>
              <w:jc w:val="center"/>
              <w:rPr>
                <w:rFonts w:ascii="Times New Roman" w:eastAsia="Times New Roman" w:hAnsi="Times New Roman" w:cs="Times New Roman"/>
                <w:b/>
                <w:bCs/>
                <w:kern w:val="0"/>
                <w:lang w:eastAsia="de-DE"/>
                <w14:ligatures w14:val="none"/>
              </w:rPr>
            </w:pPr>
            <w:r w:rsidRPr="00B46075">
              <w:rPr>
                <w:rFonts w:ascii="Times New Roman" w:eastAsia="Times New Roman" w:hAnsi="Times New Roman" w:cs="Times New Roman"/>
                <w:b/>
                <w:bCs/>
                <w:kern w:val="0"/>
                <w:lang w:eastAsia="de-DE"/>
                <w14:ligatures w14:val="none"/>
              </w:rPr>
              <w:t>Inhalt</w:t>
            </w:r>
          </w:p>
        </w:tc>
      </w:tr>
      <w:tr w:rsidR="00B46075" w:rsidRPr="00B46075" w14:paraId="33CDAC58" w14:textId="77777777">
        <w:trPr>
          <w:tblCellSpacing w:w="15" w:type="dxa"/>
        </w:trPr>
        <w:tc>
          <w:tcPr>
            <w:tcW w:w="0" w:type="auto"/>
            <w:vAlign w:val="center"/>
            <w:hideMark/>
          </w:tcPr>
          <w:p w14:paraId="2C0F1479"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Version</w:t>
            </w:r>
          </w:p>
        </w:tc>
        <w:tc>
          <w:tcPr>
            <w:tcW w:w="0" w:type="auto"/>
            <w:vAlign w:val="center"/>
            <w:hideMark/>
          </w:tcPr>
          <w:p w14:paraId="59913C93"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genaue Versionsnummer und Datum</w:t>
            </w:r>
          </w:p>
        </w:tc>
      </w:tr>
      <w:tr w:rsidR="00B46075" w:rsidRPr="00B46075" w14:paraId="13104B75" w14:textId="77777777">
        <w:trPr>
          <w:tblCellSpacing w:w="15" w:type="dxa"/>
        </w:trPr>
        <w:tc>
          <w:tcPr>
            <w:tcW w:w="0" w:type="auto"/>
            <w:vAlign w:val="center"/>
            <w:hideMark/>
          </w:tcPr>
          <w:p w14:paraId="745976BF"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Frühere Verfahren</w:t>
            </w:r>
          </w:p>
        </w:tc>
        <w:tc>
          <w:tcPr>
            <w:tcW w:w="0" w:type="auto"/>
            <w:vAlign w:val="center"/>
            <w:hideMark/>
          </w:tcPr>
          <w:p w14:paraId="272D61DE"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Gericht, Aktenzeichen, Kläger</w:t>
            </w:r>
          </w:p>
        </w:tc>
      </w:tr>
      <w:tr w:rsidR="00B46075" w:rsidRPr="00B46075" w14:paraId="7F34A1B9" w14:textId="77777777">
        <w:trPr>
          <w:tblCellSpacing w:w="15" w:type="dxa"/>
        </w:trPr>
        <w:tc>
          <w:tcPr>
            <w:tcW w:w="0" w:type="auto"/>
            <w:vAlign w:val="center"/>
            <w:hideMark/>
          </w:tcPr>
          <w:p w14:paraId="732B77C1"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Einreichungsdatum</w:t>
            </w:r>
          </w:p>
        </w:tc>
        <w:tc>
          <w:tcPr>
            <w:tcW w:w="0" w:type="auto"/>
            <w:vAlign w:val="center"/>
            <w:hideMark/>
          </w:tcPr>
          <w:p w14:paraId="659E266A"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wann vorgelegt</w:t>
            </w:r>
          </w:p>
        </w:tc>
      </w:tr>
      <w:tr w:rsidR="00B46075" w:rsidRPr="00B46075" w14:paraId="16A6369B" w14:textId="77777777">
        <w:trPr>
          <w:tblCellSpacing w:w="15" w:type="dxa"/>
        </w:trPr>
        <w:tc>
          <w:tcPr>
            <w:tcW w:w="0" w:type="auto"/>
            <w:vAlign w:val="center"/>
            <w:hideMark/>
          </w:tcPr>
          <w:p w14:paraId="212D21A8"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Reaktion des Gerichts</w:t>
            </w:r>
          </w:p>
        </w:tc>
        <w:tc>
          <w:tcPr>
            <w:tcW w:w="0" w:type="auto"/>
            <w:vAlign w:val="center"/>
            <w:hideMark/>
          </w:tcPr>
          <w:p w14:paraId="5B70EFA3"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berücksichtigt, übergangen oder ausdrücklich zurückgewiesen</w:t>
            </w:r>
          </w:p>
        </w:tc>
      </w:tr>
      <w:tr w:rsidR="00B46075" w:rsidRPr="00B46075" w14:paraId="15E40B22" w14:textId="77777777">
        <w:trPr>
          <w:tblCellSpacing w:w="15" w:type="dxa"/>
        </w:trPr>
        <w:tc>
          <w:tcPr>
            <w:tcW w:w="0" w:type="auto"/>
            <w:vAlign w:val="center"/>
            <w:hideMark/>
          </w:tcPr>
          <w:p w14:paraId="01898B7D"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Ablehnungsgrund</w:t>
            </w:r>
          </w:p>
        </w:tc>
        <w:tc>
          <w:tcPr>
            <w:tcW w:w="0" w:type="auto"/>
            <w:vAlign w:val="center"/>
            <w:hideMark/>
          </w:tcPr>
          <w:p w14:paraId="14B8F036"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fehlender Gesamtprogrammbezug, fehlende Methodik, falscher Zeitraum usw.</w:t>
            </w:r>
          </w:p>
        </w:tc>
      </w:tr>
      <w:tr w:rsidR="00B46075" w:rsidRPr="00B46075" w14:paraId="55976CB7" w14:textId="77777777">
        <w:trPr>
          <w:tblCellSpacing w:w="15" w:type="dxa"/>
        </w:trPr>
        <w:tc>
          <w:tcPr>
            <w:tcW w:w="0" w:type="auto"/>
            <w:vAlign w:val="center"/>
            <w:hideMark/>
          </w:tcPr>
          <w:p w14:paraId="688BC937"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Neue Ergänzungen</w:t>
            </w:r>
          </w:p>
        </w:tc>
        <w:tc>
          <w:tcPr>
            <w:tcW w:w="0" w:type="auto"/>
            <w:vAlign w:val="center"/>
            <w:hideMark/>
          </w:tcPr>
          <w:p w14:paraId="55B32B78"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welche neuen Daten oder Argumente hinzugekommen sind</w:t>
            </w:r>
          </w:p>
        </w:tc>
      </w:tr>
      <w:tr w:rsidR="00B46075" w:rsidRPr="00B46075" w14:paraId="2CE1F4E2" w14:textId="77777777">
        <w:trPr>
          <w:tblCellSpacing w:w="15" w:type="dxa"/>
        </w:trPr>
        <w:tc>
          <w:tcPr>
            <w:tcW w:w="0" w:type="auto"/>
            <w:vAlign w:val="center"/>
            <w:hideMark/>
          </w:tcPr>
          <w:p w14:paraId="2D328551"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Abgrenzung</w:t>
            </w:r>
          </w:p>
        </w:tc>
        <w:tc>
          <w:tcPr>
            <w:tcW w:w="0" w:type="auto"/>
            <w:vAlign w:val="center"/>
            <w:hideMark/>
          </w:tcPr>
          <w:p w14:paraId="0631504B"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weshalb der neue Streitgegenstand anders ist</w:t>
            </w:r>
          </w:p>
        </w:tc>
      </w:tr>
    </w:tbl>
    <w:p w14:paraId="737C5F4F"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Das ist kein Zeichen von Schwäche. Das Gegenteil ist der Fall: Es verhindert den Eindruck, dem nächsten Gericht werde ein bereits erfolglos gebliebenes Papier als neue Erkenntnis verkauft.</w:t>
      </w:r>
    </w:p>
    <w:p w14:paraId="05615868"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2A8B02EF">
          <v:rect id="_x0000_i1046" style="width:0;height:1.5pt" o:hralign="center" o:hrstd="t" o:hr="t" fillcolor="#a0a0a0" stroked="f"/>
        </w:pict>
      </w:r>
    </w:p>
    <w:p w14:paraId="02894741"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3.3 Die 50 abgeschlossenen Verfahren sind selbst ein neuer Forschungsdatensatz</w:t>
      </w:r>
    </w:p>
    <w:p w14:paraId="677F484D"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Hier liegt möglicherweise euer bislang unterschätzter Schatz.</w:t>
      </w:r>
    </w:p>
    <w:p w14:paraId="19059AF4"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Aus den 50 Verfahren lässt sich eine systematische Untersuchung erstellen:</w:t>
      </w:r>
    </w:p>
    <w:p w14:paraId="0716391E" w14:textId="77777777" w:rsidR="00B46075" w:rsidRPr="00B46075" w:rsidRDefault="00B46075" w:rsidP="00B46075">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Welche Substantiierung verlangten die Gerichte?</w:t>
      </w:r>
    </w:p>
    <w:p w14:paraId="7A99E965" w14:textId="77777777" w:rsidR="00B46075" w:rsidRPr="00B46075" w:rsidRDefault="00B46075" w:rsidP="00B46075">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Welche Gutachten wurden berücksichtigt?</w:t>
      </w:r>
    </w:p>
    <w:p w14:paraId="7D9BBC0D" w14:textId="77777777" w:rsidR="00B46075" w:rsidRPr="00B46075" w:rsidRDefault="00B46075" w:rsidP="00B46075">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Welche Gutachten wurden aus welchen Gründen verworfen?</w:t>
      </w:r>
    </w:p>
    <w:p w14:paraId="5A8A425F" w14:textId="77777777" w:rsidR="00B46075" w:rsidRPr="00B46075" w:rsidRDefault="00B46075" w:rsidP="00B46075">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Wurde auf Programmbeschwerden oder Gremienkontrolle verwiesen?</w:t>
      </w:r>
    </w:p>
    <w:p w14:paraId="052115E6" w14:textId="77777777" w:rsidR="00B46075" w:rsidRPr="00B46075" w:rsidRDefault="00B46075" w:rsidP="00B46075">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Wurden Beweisanträge gestellt?</w:t>
      </w:r>
    </w:p>
    <w:p w14:paraId="6151D4CC" w14:textId="77777777" w:rsidR="00B46075" w:rsidRPr="00B46075" w:rsidRDefault="00B46075" w:rsidP="00B46075">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Wie wurden sie beschieden?</w:t>
      </w:r>
    </w:p>
    <w:p w14:paraId="1B5D7173" w14:textId="77777777" w:rsidR="00B46075" w:rsidRPr="00B46075" w:rsidRDefault="00B46075" w:rsidP="00B46075">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Wurde fehlender Datenzugang thematisiert?</w:t>
      </w:r>
    </w:p>
    <w:p w14:paraId="6AD60C5C" w14:textId="77777777" w:rsidR="00B46075" w:rsidRPr="00B46075" w:rsidRDefault="00B46075" w:rsidP="00B46075">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Hat ein Gericht konkrete erreichbare Informationsquellen benannt?</w:t>
      </w:r>
    </w:p>
    <w:p w14:paraId="30A51F7B" w14:textId="77777777" w:rsidR="00B46075" w:rsidRPr="00B46075" w:rsidRDefault="00B46075" w:rsidP="00B46075">
      <w:pPr>
        <w:numPr>
          <w:ilvl w:val="0"/>
          <w:numId w:val="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Welche Anforderungen wiederholen sich?</w:t>
      </w:r>
    </w:p>
    <w:p w14:paraId="49B5877A"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 xml:space="preserve">Das wäre tatsächlich </w:t>
      </w:r>
      <w:r w:rsidRPr="00B46075">
        <w:rPr>
          <w:rFonts w:ascii="Times New Roman" w:eastAsia="Times New Roman" w:hAnsi="Times New Roman" w:cs="Times New Roman"/>
          <w:b/>
          <w:bCs/>
          <w:kern w:val="0"/>
          <w:lang w:eastAsia="de-DE"/>
          <w14:ligatures w14:val="none"/>
        </w:rPr>
        <w:t>neues empirisches Material</w:t>
      </w:r>
      <w:r w:rsidRPr="00B46075">
        <w:rPr>
          <w:rFonts w:ascii="Times New Roman" w:eastAsia="Times New Roman" w:hAnsi="Times New Roman" w:cs="Times New Roman"/>
          <w:kern w:val="0"/>
          <w:lang w:eastAsia="de-DE"/>
          <w14:ligatures w14:val="none"/>
        </w:rPr>
        <w:t>, das in den früheren Verfahren noch nicht vorliegen konnte: eine Analyse der gerichtlichen Behandlung programmbasierter Einwendungen nach einheitlichen Kriterien.</w:t>
      </w:r>
    </w:p>
    <w:p w14:paraId="541B2C5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Euer Strategiedokument schlägt bereits ein Entscheidungsregister vor. Diese Idee ist ausgezeichnet und sollte vor jeder neuen Klage umgesetzt werden.</w:t>
      </w:r>
    </w:p>
    <w:p w14:paraId="3180B0FD"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7411531A">
          <v:rect id="_x0000_i1045" style="width:0;height:1.5pt" o:hralign="center" o:hrstd="t" o:hr="t" fillcolor="#a0a0a0" stroked="f"/>
        </w:pict>
      </w:r>
    </w:p>
    <w:p w14:paraId="3112BA45" w14:textId="77777777" w:rsidR="00B46075" w:rsidRPr="00B46075" w:rsidRDefault="00B46075" w:rsidP="00B46075">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B46075">
        <w:rPr>
          <w:rFonts w:ascii="Times New Roman" w:eastAsia="Times New Roman" w:hAnsi="Times New Roman" w:cs="Times New Roman"/>
          <w:b/>
          <w:bCs/>
          <w:kern w:val="36"/>
          <w:sz w:val="48"/>
          <w:szCs w:val="48"/>
          <w:lang w:eastAsia="de-DE"/>
          <w14:ligatures w14:val="none"/>
        </w:rPr>
        <w:t>4. Meine empfohlene Gesamtstrategie</w:t>
      </w:r>
    </w:p>
    <w:p w14:paraId="3680B32C"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Phase 0: Die 50 Fälle juristisch kartieren</w:t>
      </w:r>
    </w:p>
    <w:p w14:paraId="02666B1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Vor jedem neuen Antrag braucht ihr eine zentrale Tabelle mit mindestens:</w:t>
      </w:r>
    </w:p>
    <w:p w14:paraId="2E27FFFE" w14:textId="77777777" w:rsidR="00B46075" w:rsidRPr="00B46075" w:rsidRDefault="00B46075" w:rsidP="00B46075">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Kläger</w:t>
      </w:r>
    </w:p>
    <w:p w14:paraId="4F947F8D" w14:textId="77777777" w:rsidR="00B46075" w:rsidRPr="00B46075" w:rsidRDefault="00B46075" w:rsidP="00B46075">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zuständige Landesrundfunkanstalt</w:t>
      </w:r>
    </w:p>
    <w:p w14:paraId="0EEE319F" w14:textId="77777777" w:rsidR="00B46075" w:rsidRPr="00B46075" w:rsidRDefault="00B46075" w:rsidP="00B46075">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Gericht und Aktenzeichen</w:t>
      </w:r>
    </w:p>
    <w:p w14:paraId="62F25BBA" w14:textId="77777777" w:rsidR="00B46075" w:rsidRPr="00B46075" w:rsidRDefault="00B46075" w:rsidP="00B46075">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Datum der letzten Entscheidung</w:t>
      </w:r>
    </w:p>
    <w:p w14:paraId="06B5ECE7" w14:textId="77777777" w:rsidR="00B46075" w:rsidRPr="00B46075" w:rsidRDefault="00B46075" w:rsidP="00B46075">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Rechtskraft</w:t>
      </w:r>
    </w:p>
    <w:p w14:paraId="0C4E16D7" w14:textId="77777777" w:rsidR="00B46075" w:rsidRPr="00B46075" w:rsidRDefault="00B46075" w:rsidP="00B46075">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Streitgegenstand</w:t>
      </w:r>
    </w:p>
    <w:p w14:paraId="2ACEDD12" w14:textId="77777777" w:rsidR="00B46075" w:rsidRPr="00B46075" w:rsidRDefault="00B46075" w:rsidP="00B46075">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Beitragszeitraum</w:t>
      </w:r>
    </w:p>
    <w:p w14:paraId="5D03C066" w14:textId="77777777" w:rsidR="00B46075" w:rsidRPr="00B46075" w:rsidRDefault="00B46075" w:rsidP="00B46075">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konkrete Klageanträge</w:t>
      </w:r>
    </w:p>
    <w:p w14:paraId="73F8E01E" w14:textId="77777777" w:rsidR="00B46075" w:rsidRPr="00B46075" w:rsidRDefault="00B46075" w:rsidP="00B46075">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vorgelegte Gutachten und Versionen</w:t>
      </w:r>
    </w:p>
    <w:p w14:paraId="2DBAE1A6" w14:textId="77777777" w:rsidR="00B46075" w:rsidRPr="00B46075" w:rsidRDefault="00B46075" w:rsidP="00B46075">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gerichtliche Würdigung jedes Gutachtens</w:t>
      </w:r>
    </w:p>
    <w:p w14:paraId="756F75CB" w14:textId="77777777" w:rsidR="00B46075" w:rsidRPr="00B46075" w:rsidRDefault="00B46075" w:rsidP="00B46075">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bisherige Daten- oder Archivbegehren</w:t>
      </w:r>
    </w:p>
    <w:p w14:paraId="5006DA71" w14:textId="77777777" w:rsidR="00B46075" w:rsidRPr="00B46075" w:rsidRDefault="00B46075" w:rsidP="00B46075">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Antworten beziehungsweise Ablehnungen</w:t>
      </w:r>
    </w:p>
    <w:p w14:paraId="31F6F7E5" w14:textId="77777777" w:rsidR="00B46075" w:rsidRPr="00B46075" w:rsidRDefault="00B46075" w:rsidP="00B46075">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neue Beitragsbescheide nach Abschluss des alten Verfahrens</w:t>
      </w:r>
    </w:p>
    <w:p w14:paraId="6A90D3AC" w14:textId="77777777" w:rsidR="00B46075" w:rsidRPr="00B46075" w:rsidRDefault="00B46075" w:rsidP="00B46075">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anwendbares Landesinformationsrecht</w:t>
      </w:r>
    </w:p>
    <w:p w14:paraId="51155243" w14:textId="77777777" w:rsidR="00B46075" w:rsidRPr="00B46075" w:rsidRDefault="00B46075" w:rsidP="00B46075">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mögliche Anspruchsgrundlage</w:t>
      </w:r>
    </w:p>
    <w:p w14:paraId="3A01B9F1" w14:textId="77777777" w:rsidR="00B46075" w:rsidRPr="00B46075" w:rsidRDefault="00B46075" w:rsidP="00B46075">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möglicher Rechtsweg</w:t>
      </w:r>
    </w:p>
    <w:p w14:paraId="6F473813" w14:textId="77777777" w:rsidR="00B46075" w:rsidRPr="00B46075" w:rsidRDefault="00B46075" w:rsidP="00B46075">
      <w:pPr>
        <w:numPr>
          <w:ilvl w:val="0"/>
          <w:numId w:val="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Kosten- und Berufungsbereitschaft</w:t>
      </w:r>
    </w:p>
    <w:p w14:paraId="1A3F35D4"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Danach sollten die Kläger nach Eignung bewertet werden.</w:t>
      </w:r>
    </w:p>
    <w:p w14:paraId="0600C25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 guter Musterkläger ist nicht einfach jemand, der besonders kämpferisch ist. Er braucht:</w:t>
      </w:r>
    </w:p>
    <w:p w14:paraId="662C192F" w14:textId="77777777" w:rsidR="00B46075" w:rsidRPr="00B46075" w:rsidRDefault="00B46075" w:rsidP="00B46075">
      <w:pPr>
        <w:numPr>
          <w:ilvl w:val="0"/>
          <w:numId w:val="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eine saubere bisherige Verfahrenshistorie,</w:t>
      </w:r>
    </w:p>
    <w:p w14:paraId="44CF05E7" w14:textId="77777777" w:rsidR="00B46075" w:rsidRPr="00B46075" w:rsidRDefault="00B46075" w:rsidP="00B46075">
      <w:pPr>
        <w:numPr>
          <w:ilvl w:val="0"/>
          <w:numId w:val="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einen passenden Beitragszeitraum,</w:t>
      </w:r>
    </w:p>
    <w:p w14:paraId="552242FD" w14:textId="77777777" w:rsidR="00B46075" w:rsidRPr="00B46075" w:rsidRDefault="00B46075" w:rsidP="00B46075">
      <w:pPr>
        <w:numPr>
          <w:ilvl w:val="0"/>
          <w:numId w:val="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einen klaren neuen Datenantrag,</w:t>
      </w:r>
    </w:p>
    <w:p w14:paraId="1E70B61C" w14:textId="77777777" w:rsidR="00B46075" w:rsidRPr="00B46075" w:rsidRDefault="00B46075" w:rsidP="00B46075">
      <w:pPr>
        <w:numPr>
          <w:ilvl w:val="0"/>
          <w:numId w:val="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eine ausdrückliche, möglichst punktbezogene Ablehnung,</w:t>
      </w:r>
    </w:p>
    <w:p w14:paraId="65070D9C" w14:textId="77777777" w:rsidR="00B46075" w:rsidRPr="00B46075" w:rsidRDefault="00B46075" w:rsidP="00B46075">
      <w:pPr>
        <w:numPr>
          <w:ilvl w:val="0"/>
          <w:numId w:val="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eine günstige landesrechtliche Ausgangslage,</w:t>
      </w:r>
    </w:p>
    <w:p w14:paraId="5AA217C6" w14:textId="77777777" w:rsidR="00B46075" w:rsidRPr="00B46075" w:rsidRDefault="00B46075" w:rsidP="00B46075">
      <w:pPr>
        <w:numPr>
          <w:ilvl w:val="0"/>
          <w:numId w:val="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keine bereits rechtskräftige Entscheidung über exakt denselben Zugangsanspruch,</w:t>
      </w:r>
    </w:p>
    <w:p w14:paraId="1776FBAC" w14:textId="77777777" w:rsidR="00B46075" w:rsidRPr="00B46075" w:rsidRDefault="00B46075" w:rsidP="00B46075">
      <w:pPr>
        <w:numPr>
          <w:ilvl w:val="0"/>
          <w:numId w:val="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und die Bereitschaft, das Verfahren durch mehrere Instanzen zu tragen.</w:t>
      </w:r>
    </w:p>
    <w:p w14:paraId="4AA1A8CF"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78CEC2CC">
          <v:rect id="_x0000_i1044" style="width:0;height:1.5pt" o:hralign="center" o:hrstd="t" o:hr="t" fillcolor="#a0a0a0" stroked="f"/>
        </w:pict>
      </w:r>
    </w:p>
    <w:p w14:paraId="36D5F74C"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Phase 1: Aus dem angekündigten Forschungsprojekt ein echtes Forschungsprojekt machen</w:t>
      </w:r>
    </w:p>
    <w:p w14:paraId="497D003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jetzige zentrale Anlage ist als Kurzbeschreibung brauchbar. Sie nennt Forschungsfrage, Untersuchungsgegenstand, quantitative und manuelle Codierung, KI-gestützte Vorstrukturierung, Reliabilitätsprüfung und Schutzmaßnahmen.</w:t>
      </w:r>
    </w:p>
    <w:p w14:paraId="5B7F17FF"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Für Gerichte und Archive reicht das noch nicht.</w:t>
      </w:r>
    </w:p>
    <w:p w14:paraId="35C88ACC"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Es fehlen insbesondere:</w:t>
      </w:r>
    </w:p>
    <w:p w14:paraId="698182EF" w14:textId="77777777" w:rsidR="00B46075" w:rsidRPr="00B46075" w:rsidRDefault="00B46075" w:rsidP="00B46075">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 namentlich benannter wissenschaftlicher Projektleiter,</w:t>
      </w:r>
    </w:p>
    <w:p w14:paraId="2888E7F6" w14:textId="77777777" w:rsidR="00B46075" w:rsidRPr="00B46075" w:rsidRDefault="00B46075" w:rsidP="00B46075">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 konkretes Medienforschungsinstitut oder eine Hochschule,</w:t>
      </w:r>
    </w:p>
    <w:p w14:paraId="273799BE" w14:textId="77777777" w:rsidR="00B46075" w:rsidRPr="00B46075" w:rsidRDefault="00B46075" w:rsidP="00B46075">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Qualifikationen der beteiligten Forscher,</w:t>
      </w:r>
    </w:p>
    <w:p w14:paraId="1B11CB8B" w14:textId="77777777" w:rsidR="00B46075" w:rsidRPr="00B46075" w:rsidRDefault="00B46075" w:rsidP="00B46075">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 verbindliches Untersuchungsprotokoll,</w:t>
      </w:r>
    </w:p>
    <w:p w14:paraId="14BA4BD8" w14:textId="77777777" w:rsidR="00B46075" w:rsidRPr="00B46075" w:rsidRDefault="00B46075" w:rsidP="00B46075">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Grundgesamtheit und Stichprobendesign,</w:t>
      </w:r>
    </w:p>
    <w:p w14:paraId="49FC67B9" w14:textId="77777777" w:rsidR="00B46075" w:rsidRPr="00B46075" w:rsidRDefault="00B46075" w:rsidP="00B46075">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Operationalisierung von „Vielfalt“ und „Ausgewogenheit“,</w:t>
      </w:r>
    </w:p>
    <w:p w14:paraId="7323FE45" w14:textId="77777777" w:rsidR="00B46075" w:rsidRPr="00B46075" w:rsidRDefault="00B46075" w:rsidP="00B46075">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Codebuch,</w:t>
      </w:r>
    </w:p>
    <w:p w14:paraId="46DE83A5" w14:textId="77777777" w:rsidR="00B46075" w:rsidRPr="00B46075" w:rsidRDefault="00B46075" w:rsidP="00B46075">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Regeln zur Auswahl von Themen, Akteuren und Positionen,</w:t>
      </w:r>
    </w:p>
    <w:p w14:paraId="616D1E0A" w14:textId="77777777" w:rsidR="00B46075" w:rsidRPr="00B46075" w:rsidRDefault="00B46075" w:rsidP="00B46075">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Intercoder-Reliabilität mit Zielwerten,</w:t>
      </w:r>
    </w:p>
    <w:p w14:paraId="32266251" w14:textId="77777777" w:rsidR="00B46075" w:rsidRPr="00B46075" w:rsidRDefault="00B46075" w:rsidP="00B46075">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Validierungsverfahren für KI-Auswertungen,</w:t>
      </w:r>
    </w:p>
    <w:p w14:paraId="05967A7F" w14:textId="77777777" w:rsidR="00B46075" w:rsidRPr="00B46075" w:rsidRDefault="00B46075" w:rsidP="00B46075">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Vergleichsmaßstab 2018,</w:t>
      </w:r>
    </w:p>
    <w:p w14:paraId="78E60F08" w14:textId="77777777" w:rsidR="00B46075" w:rsidRPr="00B46075" w:rsidRDefault="00B46075" w:rsidP="00B46075">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Umgang mit fehlenden Daten,</w:t>
      </w:r>
    </w:p>
    <w:p w14:paraId="2CDBAF40" w14:textId="77777777" w:rsidR="00B46075" w:rsidRPr="00B46075" w:rsidRDefault="00B46075" w:rsidP="00B46075">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Datenmanagement- und Datenschutzkonzept,</w:t>
      </w:r>
    </w:p>
    <w:p w14:paraId="02DF0225" w14:textId="77777777" w:rsidR="00B46075" w:rsidRPr="00B46075" w:rsidRDefault="00B46075" w:rsidP="00B46075">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urheberrechtliches Nutzungskonzept,</w:t>
      </w:r>
    </w:p>
    <w:p w14:paraId="4061FB64" w14:textId="77777777" w:rsidR="00B46075" w:rsidRPr="00B46075" w:rsidRDefault="00B46075" w:rsidP="00B46075">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Zeitplan und Finanzierung,</w:t>
      </w:r>
    </w:p>
    <w:p w14:paraId="09F5FCC8" w14:textId="77777777" w:rsidR="00B46075" w:rsidRPr="00B46075" w:rsidRDefault="00B46075" w:rsidP="00B46075">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Regelung möglicher Interessenkonflikte,</w:t>
      </w:r>
    </w:p>
    <w:p w14:paraId="3CEF39C8" w14:textId="77777777" w:rsidR="00B46075" w:rsidRPr="00B46075" w:rsidRDefault="00B46075" w:rsidP="00B46075">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wissenschaftlicher Beirat,</w:t>
      </w:r>
    </w:p>
    <w:p w14:paraId="40887F2E" w14:textId="77777777" w:rsidR="00B46075" w:rsidRPr="00B46075" w:rsidRDefault="00B46075" w:rsidP="00B46075">
      <w:pPr>
        <w:numPr>
          <w:ilvl w:val="0"/>
          <w:numId w:val="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Vorregistrierung der Hypothesen und Methodik.</w:t>
      </w:r>
    </w:p>
    <w:p w14:paraId="4F83D32A"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Die Archive verlangen für ihren regulären Wissenschaftszugang grundsätzlich einen durch eine akademische Einrichtung bestätigten Nutzungszweck. Zugang erhalten vor allem wissenschaftliche Projekte von Hochschulangehörigen oder vergleichbaren Mitgliedern wissenschaftlicher Institute. Ein Rechtsanspruch besteht nach den gemeinsamen Archivregeln allerdings nicht. (</w:t>
      </w:r>
      <w:hyperlink r:id="rId17" w:tooltip="https://www.dra.de/fileadmin/www.dra.de/downloads/unser-service-fuer-sie/Regelungen_zum_Archivzugang.pdf" w:history="1">
        <w:r w:rsidRPr="00B46075">
          <w:rPr>
            <w:rFonts w:ascii="Times New Roman" w:eastAsia="Times New Roman" w:hAnsi="Times New Roman" w:cs="Times New Roman"/>
            <w:color w:val="0000FF"/>
            <w:kern w:val="0"/>
            <w:u w:val="single"/>
            <w:lang w:eastAsia="de-DE"/>
            <w14:ligatures w14:val="none"/>
          </w:rPr>
          <w:t>Deutsches Rundfunkarchiv</w:t>
        </w:r>
      </w:hyperlink>
      <w:r w:rsidRPr="00B46075">
        <w:rPr>
          <w:rFonts w:ascii="Times New Roman" w:eastAsia="Times New Roman" w:hAnsi="Times New Roman" w:cs="Times New Roman"/>
          <w:kern w:val="0"/>
          <w:lang w:eastAsia="de-DE"/>
          <w14:ligatures w14:val="none"/>
        </w:rPr>
        <w:t>)</w:t>
      </w:r>
    </w:p>
    <w:p w14:paraId="0F48C8BA"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50 nahezu identische Bürgeranträge mit der Ankündigung, irgendwann ein Institut einzuschalten, werden schnell wie prozessuale Vorbereitung und nicht wie wissenschaftliche Forschung wirken.</w:t>
      </w:r>
    </w:p>
    <w:p w14:paraId="76495292"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Stärker wäre ein einziger institutioneller Forschungsantrag</w:t>
      </w:r>
      <w:r w:rsidRPr="00B46075">
        <w:rPr>
          <w:rFonts w:ascii="Times New Roman" w:eastAsia="Times New Roman" w:hAnsi="Times New Roman" w:cs="Times New Roman"/>
          <w:kern w:val="0"/>
          <w:lang w:eastAsia="de-DE"/>
          <w14:ligatures w14:val="none"/>
        </w:rPr>
        <w:t>, getragen von einem benannten Institut, mit 50 Beitragszahlern als Unterstützern, Finanzierern, Fallgebern oder späteren Klägern.</w:t>
      </w:r>
    </w:p>
    <w:p w14:paraId="75F1A46C"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72382B47">
          <v:rect id="_x0000_i1043" alt="" style="width:453.15pt;height:.05pt;mso-width-percent:0;mso-height-percent:0;mso-width-percent:0;mso-height-percent:0" o:hrpct="999" o:hralign="center" o:hrstd="t" o:hr="t" fillcolor="#a0a0a0" stroked="f"/>
        </w:pict>
      </w:r>
    </w:p>
    <w:p w14:paraId="523DA6F7"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Phase 2: Datenzugang in vier Stufen beantragen</w:t>
      </w:r>
    </w:p>
    <w:p w14:paraId="223B2295"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Stufe 1: Bereits veröffentlichungspflichtige und nicht redaktionelle Unterlagen</w:t>
      </w:r>
    </w:p>
    <w:p w14:paraId="51AA613B"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Zunächst sollten nur Unterlagen verlangt werden, deren rechtliche Schutzbedürftigkeit gering ist:</w:t>
      </w:r>
    </w:p>
    <w:p w14:paraId="1060E9A1" w14:textId="77777777" w:rsidR="00B46075" w:rsidRPr="00B46075" w:rsidRDefault="00B46075" w:rsidP="00B46075">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veröffentlichte Qualitätsrichtlinien,</w:t>
      </w:r>
    </w:p>
    <w:p w14:paraId="70EF8D1E" w14:textId="77777777" w:rsidR="00B46075" w:rsidRPr="00B46075" w:rsidRDefault="00B46075" w:rsidP="00B46075">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veröffentlichte Programmrichtlinien,</w:t>
      </w:r>
    </w:p>
    <w:p w14:paraId="3105AA9D" w14:textId="77777777" w:rsidR="00B46075" w:rsidRPr="00B46075" w:rsidRDefault="00B46075" w:rsidP="00B46075">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veröffentlichte Leistungsanalysen,</w:t>
      </w:r>
    </w:p>
    <w:p w14:paraId="416F2679" w14:textId="77777777" w:rsidR="00B46075" w:rsidRPr="00B46075" w:rsidRDefault="00B46075" w:rsidP="00B46075">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Tätigkeits- und Gremienberichte,</w:t>
      </w:r>
    </w:p>
    <w:p w14:paraId="6023B6D6" w14:textId="77777777" w:rsidR="00B46075" w:rsidRPr="00B46075" w:rsidRDefault="00B46075" w:rsidP="00B46075">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Programmschemata,</w:t>
      </w:r>
    </w:p>
    <w:p w14:paraId="552A2980" w14:textId="77777777" w:rsidR="00B46075" w:rsidRPr="00B46075" w:rsidRDefault="00B46075" w:rsidP="00B46075">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Sendungs- und Beitragsverzeichnisse,</w:t>
      </w:r>
    </w:p>
    <w:p w14:paraId="4D86F3B5" w14:textId="77777777" w:rsidR="00B46075" w:rsidRPr="00B46075" w:rsidRDefault="00B46075" w:rsidP="00B46075">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öffentlich verwendete Kategorien und Formatbezeichnungen,</w:t>
      </w:r>
    </w:p>
    <w:p w14:paraId="4D404949" w14:textId="77777777" w:rsidR="00B46075" w:rsidRPr="00B46075" w:rsidRDefault="00B46075" w:rsidP="00B46075">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veröffentlichte Beschwerdestatistiken,</w:t>
      </w:r>
    </w:p>
    <w:p w14:paraId="364849E4" w14:textId="77777777" w:rsidR="00B46075" w:rsidRPr="00B46075" w:rsidRDefault="00B46075" w:rsidP="00B46075">
      <w:pPr>
        <w:numPr>
          <w:ilvl w:val="0"/>
          <w:numId w:val="10"/>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öffentlich dokumentierte Korrekturen und Beanstandungen.</w:t>
      </w:r>
    </w:p>
    <w:p w14:paraId="0E47778A"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Beim WDR sind Qualitäts- und Programmrichtlinien ausdrücklich zu veröffentlichen; zudem sind regelmäßige Leistungsanalysen vorgesehen. (</w:t>
      </w:r>
      <w:hyperlink r:id="rId18" w:tooltip="https://recht.nrw.de/lrgv/gesetz/01042026-gesetz-ueber-den-westdeutschen-rundfunk-koeln/" w:history="1">
        <w:r w:rsidRPr="00B46075">
          <w:rPr>
            <w:rFonts w:ascii="Times New Roman" w:eastAsia="Times New Roman" w:hAnsi="Times New Roman" w:cs="Times New Roman"/>
            <w:color w:val="0000FF"/>
            <w:kern w:val="0"/>
            <w:u w:val="single"/>
            <w:lang w:eastAsia="de-DE"/>
            <w14:ligatures w14:val="none"/>
          </w:rPr>
          <w:t>Recht.NRW</w:t>
        </w:r>
      </w:hyperlink>
      <w:r w:rsidRPr="00B46075">
        <w:rPr>
          <w:rFonts w:ascii="Times New Roman" w:eastAsia="Times New Roman" w:hAnsi="Times New Roman" w:cs="Times New Roman"/>
          <w:kern w:val="0"/>
          <w:lang w:eastAsia="de-DE"/>
          <w14:ligatures w14:val="none"/>
        </w:rPr>
        <w:t>)</w:t>
      </w:r>
    </w:p>
    <w:p w14:paraId="66C1961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Hier lässt sich ein Gericht wesentlich schwerer mit dem pauschalen Hinweis auf redaktionelle Freiheit abspeisen.</w:t>
      </w:r>
    </w:p>
    <w:p w14:paraId="2BA7C999"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Stufe 2: Bestands- und Strukturauskunft</w:t>
      </w:r>
    </w:p>
    <w:p w14:paraId="5EEDB2D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Danach:</w:t>
      </w:r>
    </w:p>
    <w:p w14:paraId="5FF3E901" w14:textId="77777777" w:rsidR="00B46075" w:rsidRPr="00B46075" w:rsidRDefault="00B46075" w:rsidP="00B46075">
      <w:pPr>
        <w:numPr>
          <w:ilvl w:val="0"/>
          <w:numId w:val="11"/>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Welche Transkripte existieren?</w:t>
      </w:r>
    </w:p>
    <w:p w14:paraId="2B3EBCF5" w14:textId="77777777" w:rsidR="00B46075" w:rsidRPr="00B46075" w:rsidRDefault="00B46075" w:rsidP="00B46075">
      <w:pPr>
        <w:numPr>
          <w:ilvl w:val="0"/>
          <w:numId w:val="11"/>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Welche Untertiteldateien existieren?</w:t>
      </w:r>
    </w:p>
    <w:p w14:paraId="20E3C492" w14:textId="77777777" w:rsidR="00B46075" w:rsidRPr="00B46075" w:rsidRDefault="00B46075" w:rsidP="00B46075">
      <w:pPr>
        <w:numPr>
          <w:ilvl w:val="0"/>
          <w:numId w:val="11"/>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Welche Metadatenfelder werden geführt?</w:t>
      </w:r>
    </w:p>
    <w:p w14:paraId="5CF8C60A" w14:textId="77777777" w:rsidR="00B46075" w:rsidRPr="00B46075" w:rsidRDefault="00B46075" w:rsidP="00B46075">
      <w:pPr>
        <w:numPr>
          <w:ilvl w:val="0"/>
          <w:numId w:val="11"/>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Welche Aufbewahrungsfristen gelten?</w:t>
      </w:r>
    </w:p>
    <w:p w14:paraId="4ED265E4" w14:textId="77777777" w:rsidR="00B46075" w:rsidRPr="00B46075" w:rsidRDefault="00B46075" w:rsidP="00B46075">
      <w:pPr>
        <w:numPr>
          <w:ilvl w:val="0"/>
          <w:numId w:val="11"/>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Welche Inhalte wurden depubliziert?</w:t>
      </w:r>
    </w:p>
    <w:p w14:paraId="789BCA1F" w14:textId="77777777" w:rsidR="00B46075" w:rsidRPr="00B46075" w:rsidRDefault="00B46075" w:rsidP="00B46075">
      <w:pPr>
        <w:numPr>
          <w:ilvl w:val="0"/>
          <w:numId w:val="11"/>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Welche Exportmöglichkeiten bestehen?</w:t>
      </w:r>
    </w:p>
    <w:p w14:paraId="0BA5EF7E" w14:textId="77777777" w:rsidR="00B46075" w:rsidRPr="00B46075" w:rsidRDefault="00B46075" w:rsidP="00B46075">
      <w:pPr>
        <w:numPr>
          <w:ilvl w:val="0"/>
          <w:numId w:val="11"/>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Welche Organisationseinheit verwaltet sie?</w:t>
      </w:r>
    </w:p>
    <w:p w14:paraId="77E15B5C"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Noch keine vollständige Herausgabe – zunächst nur eine überprüfbare Inventarisierung.</w:t>
      </w:r>
    </w:p>
    <w:p w14:paraId="1B7AC72B"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Stufe 3: Begrenzter Pilotzugang</w:t>
      </w:r>
    </w:p>
    <w:p w14:paraId="503781E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Anschließend:</w:t>
      </w:r>
    </w:p>
    <w:p w14:paraId="7C8061F9" w14:textId="77777777" w:rsidR="00B46075" w:rsidRPr="00B46075" w:rsidRDefault="00B46075" w:rsidP="00B46075">
      <w:pPr>
        <w:numPr>
          <w:ilvl w:val="0"/>
          <w:numId w:val="1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drei bis sechs Monate,</w:t>
      </w:r>
    </w:p>
    <w:p w14:paraId="643B777B" w14:textId="77777777" w:rsidR="00B46075" w:rsidRPr="00B46075" w:rsidRDefault="00B46075" w:rsidP="00B46075">
      <w:pPr>
        <w:numPr>
          <w:ilvl w:val="0"/>
          <w:numId w:val="1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klar bezeichnete Formate,</w:t>
      </w:r>
    </w:p>
    <w:p w14:paraId="5863846C" w14:textId="77777777" w:rsidR="00B46075" w:rsidRPr="00B46075" w:rsidRDefault="00B46075" w:rsidP="00B46075">
      <w:pPr>
        <w:numPr>
          <w:ilvl w:val="0"/>
          <w:numId w:val="1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nur veröffentlichte Endfassungen,</w:t>
      </w:r>
    </w:p>
    <w:p w14:paraId="7CDBFBCC" w14:textId="77777777" w:rsidR="00B46075" w:rsidRPr="00B46075" w:rsidRDefault="00B46075" w:rsidP="00B46075">
      <w:pPr>
        <w:numPr>
          <w:ilvl w:val="0"/>
          <w:numId w:val="1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Untertitel und technische Metadaten,</w:t>
      </w:r>
    </w:p>
    <w:p w14:paraId="1E57B5C6" w14:textId="77777777" w:rsidR="00B46075" w:rsidRPr="00B46075" w:rsidRDefault="00B46075" w:rsidP="00B46075">
      <w:pPr>
        <w:numPr>
          <w:ilvl w:val="0"/>
          <w:numId w:val="1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Präsenzzugang oder geschützter Datenraum,</w:t>
      </w:r>
    </w:p>
    <w:p w14:paraId="25E53FBA" w14:textId="77777777" w:rsidR="00B46075" w:rsidRPr="00B46075" w:rsidRDefault="00B46075" w:rsidP="00B46075">
      <w:pPr>
        <w:numPr>
          <w:ilvl w:val="0"/>
          <w:numId w:val="1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benannte Wissenschaftler,</w:t>
      </w:r>
    </w:p>
    <w:p w14:paraId="66CA9165" w14:textId="77777777" w:rsidR="00B46075" w:rsidRPr="00B46075" w:rsidRDefault="00B46075" w:rsidP="00B46075">
      <w:pPr>
        <w:numPr>
          <w:ilvl w:val="0"/>
          <w:numId w:val="1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keine Weitergabe der Originaldateien,</w:t>
      </w:r>
    </w:p>
    <w:p w14:paraId="0438ACD5" w14:textId="77777777" w:rsidR="00B46075" w:rsidRPr="00B46075" w:rsidRDefault="00B46075" w:rsidP="00B46075">
      <w:pPr>
        <w:numPr>
          <w:ilvl w:val="0"/>
          <w:numId w:val="1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Veröffentlichung nur aggregierter Ergebnisse.</w:t>
      </w:r>
    </w:p>
    <w:p w14:paraId="0D4B1264"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Diese Grundidee ist in euren Anträgen bereits gut angelegt.</w:t>
      </w:r>
    </w:p>
    <w:p w14:paraId="140D43D9"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Stufe 4: Erweiterung nach erfolgreichem Pilotprojekt</w:t>
      </w:r>
    </w:p>
    <w:p w14:paraId="5BF0942D"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Erst wenn Methodik, Aufwand und Schutzmaßnahmen erprobt sind, wird der Zugang sachlich und zeitlich erweitert.</w:t>
      </w:r>
    </w:p>
    <w:p w14:paraId="377172F7"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Dieser Aufbau ist wesentlich verhältnismäßiger als die sofortige Forderung nach allen linearen, nichtlinearen, internen und historischen Daten.</w:t>
      </w:r>
    </w:p>
    <w:p w14:paraId="165447CC"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5AA642A9">
          <v:rect id="_x0000_i1042" alt="" style="width:453.15pt;height:.05pt;mso-width-percent:0;mso-height-percent:0;mso-width-percent:0;mso-height-percent:0" o:hrpct="999" o:hralign="center" o:hrstd="t" o:hr="t" fillcolor="#a0a0a0" stroked="f"/>
        </w:pict>
      </w:r>
    </w:p>
    <w:p w14:paraId="3A531D53"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Phase 3: Ein bis drei Musterverfahren</w:t>
      </w:r>
    </w:p>
    <w:p w14:paraId="2198C62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Ich würde zunächst drei unterschiedliche, aber eng definierte Verfahren erwägen:</w:t>
      </w:r>
    </w:p>
    <w:p w14:paraId="7CF7A20E"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Musterfall A: Informationszugang nach einer konkreten Landesnorm</w:t>
      </w:r>
    </w:p>
    <w:p w14:paraId="43110100"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Beispielsweise nicht-redaktionelle Metadaten, Richtlinien oder vorhandene Leistungsanalysen bei einer Anstalt, deren Landesrecht einen Informationszugang grundsätzlich vorsieht.</w:t>
      </w:r>
    </w:p>
    <w:p w14:paraId="7E6037E2"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Musterfall B: Wissenschaftlicher Archivzugang</w:t>
      </w:r>
    </w:p>
    <w:p w14:paraId="4C4CE5F7"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 echter institutioneller Forschungsantrag mit akademischer Bestätigung, begrenztem Untersuchungszeitraum und Vor-Ort-Zugang. Je nach Anstalt kann hier allerdings ein privatrechtliches Benutzungsverhältnis vorliegen.</w:t>
      </w:r>
    </w:p>
    <w:p w14:paraId="3D1F2127"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Musterfall C: Gerichtliche Sachaufklärung in einem noch laufenden Beitragsverfahren</w:t>
      </w:r>
    </w:p>
    <w:p w14:paraId="6E47A8A3"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 xml:space="preserve">Hier wird nicht vorprozessual „alles“ verlangt. Stattdessen wird zunächst ein wissenschaftlich tragfähiger Anfangsvortrag erbracht. Anschließend werden konkret bezeichnete Erkenntnismittel beantragt, die das Gericht nach § 86 VwGO im Rahmen seiner Sachverhaltsaufklärung berücksichtigen soll. § 86 VwGO verpflichtet das Gericht zur </w:t>
      </w:r>
      <w:r w:rsidRPr="00B46075">
        <w:rPr>
          <w:rFonts w:ascii="Times New Roman" w:eastAsia="Times New Roman" w:hAnsi="Times New Roman" w:cs="Times New Roman"/>
          <w:kern w:val="0"/>
          <w:lang w:eastAsia="de-DE"/>
          <w14:ligatures w14:val="none"/>
        </w:rPr>
        <w:lastRenderedPageBreak/>
        <w:t>Erforschung des Sachverhalts, entbindet den Kläger nach dem Bundesverwaltungsgericht aber nicht von der notwendigen substantiierenden Ausgangsdarlegung. (</w:t>
      </w:r>
      <w:hyperlink r:id="rId19" w:tooltip="https://www.gesetze-im-internet.de/vwgo/__86.html" w:history="1">
        <w:r w:rsidRPr="00B46075">
          <w:rPr>
            <w:rFonts w:ascii="Times New Roman" w:eastAsia="Times New Roman" w:hAnsi="Times New Roman" w:cs="Times New Roman"/>
            <w:color w:val="0000FF"/>
            <w:kern w:val="0"/>
            <w:u w:val="single"/>
            <w:lang w:eastAsia="de-DE"/>
            <w14:ligatures w14:val="none"/>
          </w:rPr>
          <w:t>Gesetze im Internet</w:t>
        </w:r>
      </w:hyperlink>
      <w:r w:rsidRPr="00B46075">
        <w:rPr>
          <w:rFonts w:ascii="Times New Roman" w:eastAsia="Times New Roman" w:hAnsi="Times New Roman" w:cs="Times New Roman"/>
          <w:kern w:val="0"/>
          <w:lang w:eastAsia="de-DE"/>
          <w14:ligatures w14:val="none"/>
        </w:rPr>
        <w:t>)</w:t>
      </w:r>
    </w:p>
    <w:p w14:paraId="4E1D5C64"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Erst wenn sich eine dieser Konstruktionen als zulässig erweist, wird skaliert.</w:t>
      </w:r>
    </w:p>
    <w:p w14:paraId="576E46D0"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5DF37480">
          <v:rect id="_x0000_i1041" alt="" style="width:453.15pt;height:.05pt;mso-width-percent:0;mso-height-percent:0;mso-width-percent:0;mso-height-percent:0" o:hrpct="999" o:hralign="center" o:hrstd="t" o:hr="t" fillcolor="#a0a0a0" stroked="f"/>
        </w:pict>
      </w:r>
    </w:p>
    <w:p w14:paraId="3C9F7546" w14:textId="77777777" w:rsidR="00B46075" w:rsidRPr="00B46075" w:rsidRDefault="00B46075" w:rsidP="00B46075">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B46075">
        <w:rPr>
          <w:rFonts w:ascii="Times New Roman" w:eastAsia="Times New Roman" w:hAnsi="Times New Roman" w:cs="Times New Roman"/>
          <w:b/>
          <w:bCs/>
          <w:kern w:val="36"/>
          <w:sz w:val="48"/>
          <w:szCs w:val="48"/>
          <w:lang w:eastAsia="de-DE"/>
          <w14:ligatures w14:val="none"/>
        </w:rPr>
        <w:t>5. Bewertung der einzelnen Dokumente</w:t>
      </w:r>
    </w:p>
    <w:p w14:paraId="4C62E4DB"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5.1 Grundsatz-Überlegungen zur Feststellungsklage</w:t>
      </w:r>
    </w:p>
    <w:p w14:paraId="08F28B04"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Stark</w:t>
      </w:r>
    </w:p>
    <w:p w14:paraId="5BCBC9AE" w14:textId="77777777" w:rsidR="00B46075" w:rsidRPr="00B46075" w:rsidRDefault="00B46075" w:rsidP="00B46075">
      <w:pPr>
        <w:numPr>
          <w:ilvl w:val="0"/>
          <w:numId w:val="1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richtige Identifikation der Informationsasymmetrie,</w:t>
      </w:r>
    </w:p>
    <w:p w14:paraId="3404FF03" w14:textId="77777777" w:rsidR="00B46075" w:rsidRPr="00B46075" w:rsidRDefault="00B46075" w:rsidP="00B46075">
      <w:pPr>
        <w:numPr>
          <w:ilvl w:val="0"/>
          <w:numId w:val="1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richtige Empfehlung sorgfältig ausgewählter Musterkläger,</w:t>
      </w:r>
    </w:p>
    <w:p w14:paraId="3EB7F806" w14:textId="77777777" w:rsidR="00B46075" w:rsidRPr="00B46075" w:rsidRDefault="00B46075" w:rsidP="00B46075">
      <w:pPr>
        <w:numPr>
          <w:ilvl w:val="0"/>
          <w:numId w:val="1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gute Idee eines zentralen Entscheidungsregisters,</w:t>
      </w:r>
    </w:p>
    <w:p w14:paraId="32B2C12B" w14:textId="77777777" w:rsidR="00B46075" w:rsidRPr="00B46075" w:rsidRDefault="00B46075" w:rsidP="00B46075">
      <w:pPr>
        <w:numPr>
          <w:ilvl w:val="0"/>
          <w:numId w:val="1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zutreffender Hinweis, dass die statthafte Klageart offen ist,</w:t>
      </w:r>
    </w:p>
    <w:p w14:paraId="0EA950F0" w14:textId="77777777" w:rsidR="00B46075" w:rsidRPr="00B46075" w:rsidRDefault="00B46075" w:rsidP="00B46075">
      <w:pPr>
        <w:numPr>
          <w:ilvl w:val="0"/>
          <w:numId w:val="1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sinnvolle Unterscheidung verschiedener rechtlicher Schwerpunkte.</w:t>
      </w:r>
    </w:p>
    <w:p w14:paraId="1092B127"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Problematisch</w:t>
      </w:r>
    </w:p>
    <w:p w14:paraId="66A2CDDA" w14:textId="77777777" w:rsidR="00B46075" w:rsidRPr="00B46075" w:rsidRDefault="00B46075" w:rsidP="00B46075">
      <w:pPr>
        <w:numPr>
          <w:ilvl w:val="0"/>
          <w:numId w:val="1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Widerspruch zwischen Musterverfahren und sofortiger 30/20-Massenverteilung,</w:t>
      </w:r>
    </w:p>
    <w:p w14:paraId="0EC0163D" w14:textId="77777777" w:rsidR="00B46075" w:rsidRPr="00B46075" w:rsidRDefault="00B46075" w:rsidP="00B46075">
      <w:pPr>
        <w:numPr>
          <w:ilvl w:val="0"/>
          <w:numId w:val="1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Klagearten werden nach Mengen verteilt, bevor die jeweilige Anspruchsgrundlage geprüft wurde,</w:t>
      </w:r>
    </w:p>
    <w:p w14:paraId="7A21E72A" w14:textId="77777777" w:rsidR="00B46075" w:rsidRPr="00B46075" w:rsidRDefault="00B46075" w:rsidP="00B46075">
      <w:pPr>
        <w:numPr>
          <w:ilvl w:val="0"/>
          <w:numId w:val="1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50 Verfahren werden zu stark als Druckmittel und zu wenig als kontrolliertes juristisches Experiment betrachtet,</w:t>
      </w:r>
    </w:p>
    <w:p w14:paraId="01AE41A1" w14:textId="77777777" w:rsidR="00B46075" w:rsidRPr="00B46075" w:rsidRDefault="00B46075" w:rsidP="00B46075">
      <w:pPr>
        <w:numPr>
          <w:ilvl w:val="0"/>
          <w:numId w:val="1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Feststellungsanträge werden teilweise als Sicherheitsnetz behandelt, obwohl § 43 Abs. 2 VwGO gerade deren Subsidiarität anordnet.</w:t>
      </w:r>
    </w:p>
    <w:p w14:paraId="15186B46"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Empfehlung</w:t>
      </w:r>
    </w:p>
    <w:p w14:paraId="64D80F3B"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erste Hälfte des Dokuments behalten. Den fertigen Verteilungsschlüssel „30 Leistung / 20 Verpflichtung“ streichen. Stattdessen für jeden Kläger zunächst eine Anspruchs- und Rechtswegmatrix erstellen.</w:t>
      </w:r>
    </w:p>
    <w:p w14:paraId="4FCD411F"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7F98682A">
          <v:rect id="_x0000_i1040" style="width:0;height:1.5pt" o:hralign="center" o:hrstd="t" o:hr="t" fillcolor="#a0a0a0" stroked="f"/>
        </w:pict>
      </w:r>
    </w:p>
    <w:p w14:paraId="10481150"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5.2 Antrag an die Landesrundfunkanstalt</w:t>
      </w:r>
    </w:p>
    <w:p w14:paraId="37CCF5B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ist grundsätzlich ein guter Entwurf.</w:t>
      </w:r>
    </w:p>
    <w:p w14:paraId="4CFC3F08"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Besonders positiv sind:</w:t>
      </w:r>
    </w:p>
    <w:p w14:paraId="040AFAEA" w14:textId="77777777" w:rsidR="00B46075" w:rsidRPr="00B46075" w:rsidRDefault="00B46075" w:rsidP="00B46075">
      <w:pPr>
        <w:numPr>
          <w:ilvl w:val="0"/>
          <w:numId w:val="1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Beschränkung auf die eigene Verantwortungssphäre der Anstalt,</w:t>
      </w:r>
    </w:p>
    <w:p w14:paraId="344890CA" w14:textId="77777777" w:rsidR="00B46075" w:rsidRPr="00B46075" w:rsidRDefault="00B46075" w:rsidP="00B46075">
      <w:pPr>
        <w:numPr>
          <w:ilvl w:val="0"/>
          <w:numId w:val="1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Trennung veröffentlichter Inhalte von vertraulichen redaktionellen Interna,</w:t>
      </w:r>
    </w:p>
    <w:p w14:paraId="5EE76E8C" w14:textId="77777777" w:rsidR="00B46075" w:rsidRPr="00B46075" w:rsidRDefault="00B46075" w:rsidP="00B46075">
      <w:pPr>
        <w:numPr>
          <w:ilvl w:val="0"/>
          <w:numId w:val="1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alternative Zugangsformen,</w:t>
      </w:r>
    </w:p>
    <w:p w14:paraId="6F88D08A" w14:textId="77777777" w:rsidR="00B46075" w:rsidRPr="00B46075" w:rsidRDefault="00B46075" w:rsidP="00B46075">
      <w:pPr>
        <w:numPr>
          <w:ilvl w:val="0"/>
          <w:numId w:val="1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Pilotzugang,</w:t>
      </w:r>
    </w:p>
    <w:p w14:paraId="6EB53C9C" w14:textId="77777777" w:rsidR="00B46075" w:rsidRPr="00B46075" w:rsidRDefault="00B46075" w:rsidP="00B46075">
      <w:pPr>
        <w:numPr>
          <w:ilvl w:val="0"/>
          <w:numId w:val="1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Bereitschaft zu Vertraulichkeit, Zweckbindung und sicheren Datenräumen,</w:t>
      </w:r>
    </w:p>
    <w:p w14:paraId="39E31DE4" w14:textId="77777777" w:rsidR="00B46075" w:rsidRPr="00B46075" w:rsidRDefault="00B46075" w:rsidP="00B46075">
      <w:pPr>
        <w:numPr>
          <w:ilvl w:val="0"/>
          <w:numId w:val="1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hilfsweise Bestandsauskunft.</w:t>
      </w:r>
    </w:p>
    <w:p w14:paraId="58FE78FC"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Verbessert werden müssen:</w:t>
      </w:r>
    </w:p>
    <w:p w14:paraId="35744E7D" w14:textId="77777777" w:rsidR="00B46075" w:rsidRPr="00B46075" w:rsidRDefault="00B46075" w:rsidP="00B46075">
      <w:pPr>
        <w:numPr>
          <w:ilvl w:val="0"/>
          <w:numId w:val="1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Konkrete Anspruchsgrundlage der jeweiligen Anstalt und des Landes.</w:t>
      </w:r>
    </w:p>
    <w:p w14:paraId="49F3DD50" w14:textId="77777777" w:rsidR="00B46075" w:rsidRPr="00B46075" w:rsidRDefault="00B46075" w:rsidP="00B46075">
      <w:pPr>
        <w:numPr>
          <w:ilvl w:val="0"/>
          <w:numId w:val="1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Nennung des wissenschaftlichen Instituts und Projektleiters.</w:t>
      </w:r>
    </w:p>
    <w:p w14:paraId="2B7E1FFA" w14:textId="77777777" w:rsidR="00B46075" w:rsidRPr="00B46075" w:rsidRDefault="00B46075" w:rsidP="00B46075">
      <w:pPr>
        <w:numPr>
          <w:ilvl w:val="0"/>
          <w:numId w:val="1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Anpassung des Zeitraums an den konkreten Forschungs- beziehungsweise Beitragszeitraum.</w:t>
      </w:r>
    </w:p>
    <w:p w14:paraId="209D9276" w14:textId="77777777" w:rsidR="00B46075" w:rsidRPr="00B46075" w:rsidRDefault="00B46075" w:rsidP="00B46075">
      <w:pPr>
        <w:numPr>
          <w:ilvl w:val="0"/>
          <w:numId w:val="1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Stufenweiser Antrag statt einer langen Gesamtliste.</w:t>
      </w:r>
    </w:p>
    <w:p w14:paraId="58088E22" w14:textId="77777777" w:rsidR="00B46075" w:rsidRPr="00B46075" w:rsidRDefault="00B46075" w:rsidP="00B46075">
      <w:pPr>
        <w:numPr>
          <w:ilvl w:val="0"/>
          <w:numId w:val="1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Klare Trennung zwischen Programminhalten, technischen Metadaten und redaktionellen Unterlagen.</w:t>
      </w:r>
    </w:p>
    <w:p w14:paraId="5B41A350" w14:textId="77777777" w:rsidR="00B46075" w:rsidRPr="00B46075" w:rsidRDefault="00B46075" w:rsidP="00B46075">
      <w:pPr>
        <w:numPr>
          <w:ilvl w:val="0"/>
          <w:numId w:val="1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Konkrete Begründung, weshalb jede angefragte Kategorie für einen bestimmten Indikator benötigt wird.</w:t>
      </w:r>
    </w:p>
    <w:p w14:paraId="002322A9" w14:textId="77777777" w:rsidR="00B46075" w:rsidRPr="00B46075" w:rsidRDefault="00B46075" w:rsidP="00B46075">
      <w:pPr>
        <w:numPr>
          <w:ilvl w:val="0"/>
          <w:numId w:val="1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Antrag auf Teilzugang und Schwärzung statt vollständiger Ablehnung.</w:t>
      </w:r>
    </w:p>
    <w:p w14:paraId="5EF564C4" w14:textId="77777777" w:rsidR="00B46075" w:rsidRPr="00B46075" w:rsidRDefault="00B46075" w:rsidP="00B46075">
      <w:pPr>
        <w:numPr>
          <w:ilvl w:val="0"/>
          <w:numId w:val="1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Bitte um Weiterleitung an die tatsächlich datenhaltende Organisationseinheit.</w:t>
      </w:r>
    </w:p>
    <w:p w14:paraId="072795F7"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6CAE6395">
          <v:rect id="_x0000_i1039" style="width:0;height:1.5pt" o:hralign="center" o:hrstd="t" o:hr="t" fillcolor="#a0a0a0" stroked="f"/>
        </w:pict>
      </w:r>
    </w:p>
    <w:p w14:paraId="14B0CFAB"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5.3 Antrag auf wissenschaftlichen Archivzugang</w:t>
      </w:r>
    </w:p>
    <w:p w14:paraId="5E1B89AB"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 xml:space="preserve">Das ist nach meiner Bewertung der </w:t>
      </w:r>
      <w:r w:rsidRPr="00B46075">
        <w:rPr>
          <w:rFonts w:ascii="Times New Roman" w:eastAsia="Times New Roman" w:hAnsi="Times New Roman" w:cs="Times New Roman"/>
          <w:b/>
          <w:bCs/>
          <w:kern w:val="0"/>
          <w:lang w:eastAsia="de-DE"/>
          <w14:ligatures w14:val="none"/>
        </w:rPr>
        <w:t>stärkste operative Antrag</w:t>
      </w:r>
      <w:r w:rsidRPr="00B46075">
        <w:rPr>
          <w:rFonts w:ascii="Times New Roman" w:eastAsia="Times New Roman" w:hAnsi="Times New Roman" w:cs="Times New Roman"/>
          <w:kern w:val="0"/>
          <w:lang w:eastAsia="de-DE"/>
          <w14:ligatures w14:val="none"/>
        </w:rPr>
        <w:t xml:space="preserve"> im Paket.</w:t>
      </w:r>
    </w:p>
    <w:p w14:paraId="617D47F3"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Er beginnt vernünftigerweise mit einer Bestandsauskunft, sieht mehrere Zugangsformen vor, bietet einen begrenzten Pilotzugang an und schließt vertrauliche Quellen und interne Kommunikation aus.</w:t>
      </w:r>
    </w:p>
    <w:p w14:paraId="1E3E258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Er passt zudem besser zur veröffentlichten Archivpraxis als die breit angelegte Datenherausgabeklage. Die ARD erklärt selbst, dass bei anstaltsübergreifenden Forschungsanfragen zunächst das DRA kontaktiert werden kann; zugleich bleiben die Archive dezentral und anstaltsbezogen. (</w:t>
      </w:r>
      <w:hyperlink r:id="rId20" w:tooltip="https://www.ard.de/die-ard/presse-kontakt/archive/archivzugang-fuer-wissenschaft-und-forschung-100.html" w:history="1">
        <w:r w:rsidRPr="00B46075">
          <w:rPr>
            <w:rFonts w:ascii="Times New Roman" w:eastAsia="Times New Roman" w:hAnsi="Times New Roman" w:cs="Times New Roman"/>
            <w:color w:val="0000FF"/>
            <w:kern w:val="0"/>
            <w:u w:val="single"/>
            <w:lang w:eastAsia="de-DE"/>
            <w14:ligatures w14:val="none"/>
          </w:rPr>
          <w:t>ard.de</w:t>
        </w:r>
      </w:hyperlink>
      <w:r w:rsidRPr="00B46075">
        <w:rPr>
          <w:rFonts w:ascii="Times New Roman" w:eastAsia="Times New Roman" w:hAnsi="Times New Roman" w:cs="Times New Roman"/>
          <w:kern w:val="0"/>
          <w:lang w:eastAsia="de-DE"/>
          <w14:ligatures w14:val="none"/>
        </w:rPr>
        <w:t>)</w:t>
      </w:r>
    </w:p>
    <w:p w14:paraId="51323CE7"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Notwendig sind aber:</w:t>
      </w:r>
    </w:p>
    <w:p w14:paraId="0F573EBD" w14:textId="77777777" w:rsidR="00B46075" w:rsidRPr="00B46075" w:rsidRDefault="00B46075" w:rsidP="00B46075">
      <w:pPr>
        <w:numPr>
          <w:ilvl w:val="0"/>
          <w:numId w:val="1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akademisch bestätigter Forschungszweck,</w:t>
      </w:r>
    </w:p>
    <w:p w14:paraId="210EA3D1" w14:textId="77777777" w:rsidR="00B46075" w:rsidRPr="00B46075" w:rsidRDefault="00B46075" w:rsidP="00B46075">
      <w:pPr>
        <w:numPr>
          <w:ilvl w:val="0"/>
          <w:numId w:val="1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benannter Wissenschaftler,</w:t>
      </w:r>
    </w:p>
    <w:p w14:paraId="49AF4385" w14:textId="77777777" w:rsidR="00B46075" w:rsidRPr="00B46075" w:rsidRDefault="00B46075" w:rsidP="00B46075">
      <w:pPr>
        <w:numPr>
          <w:ilvl w:val="0"/>
          <w:numId w:val="1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engerer Pilotgegenstand,</w:t>
      </w:r>
    </w:p>
    <w:p w14:paraId="63BE20CD" w14:textId="77777777" w:rsidR="00B46075" w:rsidRPr="00B46075" w:rsidRDefault="00B46075" w:rsidP="00B46075">
      <w:pPr>
        <w:numPr>
          <w:ilvl w:val="0"/>
          <w:numId w:val="1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klare Archiv- und Produzentenzuordnung,</w:t>
      </w:r>
    </w:p>
    <w:p w14:paraId="0FFD505C" w14:textId="77777777" w:rsidR="00B46075" w:rsidRPr="00B46075" w:rsidRDefault="00B46075" w:rsidP="00B46075">
      <w:pPr>
        <w:numPr>
          <w:ilvl w:val="0"/>
          <w:numId w:val="1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Anerkennung der Kapazitätsgrenzen,</w:t>
      </w:r>
    </w:p>
    <w:p w14:paraId="0400A4E1" w14:textId="77777777" w:rsidR="00B46075" w:rsidRPr="00B46075" w:rsidRDefault="00B46075" w:rsidP="00B46075">
      <w:pPr>
        <w:numPr>
          <w:ilvl w:val="0"/>
          <w:numId w:val="1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keine Gleichsetzung von Archivzugang mit frei exportierbarem Massendatensatz.</w:t>
      </w:r>
    </w:p>
    <w:p w14:paraId="27C1FBD8"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39FE6D92">
          <v:rect id="_x0000_i1038" style="width:0;height:1.5pt" o:hralign="center" o:hrstd="t" o:hr="t" fillcolor="#a0a0a0" stroked="f"/>
        </w:pict>
      </w:r>
    </w:p>
    <w:p w14:paraId="57E75879"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5.4 Anträge an ZDF und Deutschlandradio</w:t>
      </w:r>
    </w:p>
    <w:p w14:paraId="6139ECFA"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derzeitigen Ein-Seiten-Module sind als interne Bausteine brauchbar, aber nicht als eigenständige versandfertige Anträge.</w:t>
      </w:r>
    </w:p>
    <w:p w14:paraId="0645168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Beim Deutschlandradio heißt es lediglich, im Übrigen gelte das Hauptschreiben entsprechend.</w:t>
      </w:r>
    </w:p>
    <w:p w14:paraId="237EEFFF"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Beim ZDF wird ebenfalls im Wesentlichen auf das LRA-Hauptschreiben verwiesen. Positiv ist dort immerhin die korrekte Beschränkung auf tatsächlich vom ZDF verwaltete Gemeinschaftsangebote.</w:t>
      </w:r>
    </w:p>
    <w:p w14:paraId="57C9DC22"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Jede Anstalt sollte ein vollständiges, eigenständig lesbares Schreiben erhalten. Sonst kann später Streit darüber entstehen, welcher Haupttext tatsächlich beigefügt war und welche konkreten Anträge gestellt wurden.</w:t>
      </w:r>
    </w:p>
    <w:p w14:paraId="760EDDAA"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3F4A204A">
          <v:rect id="_x0000_i1037" style="width:0;height:1.5pt" o:hralign="center" o:hrstd="t" o:hr="t" fillcolor="#a0a0a0" stroked="f"/>
        </w:pict>
      </w:r>
    </w:p>
    <w:p w14:paraId="335AB061"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5.5 Antrag auf Datensicherung</w:t>
      </w:r>
    </w:p>
    <w:p w14:paraId="392D4930"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Sicherungsbitte ist strategisch sinnvoll, weil sie dokumentiert, dass auf mögliche Löschungen, Überschreibungen und technische Migrationen hingewiesen wurde.</w:t>
      </w:r>
    </w:p>
    <w:p w14:paraId="195D8903"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Sie sollte aber nicht den Eindruck erwecken, allein durch das Schreiben entstehe automatisch eine umfassende einklagbare Aufbewahrungspflicht.</w:t>
      </w:r>
    </w:p>
    <w:p w14:paraId="345DF203"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Besserer Titel:</w:t>
      </w:r>
    </w:p>
    <w:p w14:paraId="131A203B"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„Vorsorgliche Sicherungsaufforderung und Auskunftsersuchen zu Aufbewahrungs- und Löschfristen“</w:t>
      </w:r>
    </w:p>
    <w:p w14:paraId="6C532151"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Zunächst sollte verlangt werden:</w:t>
      </w:r>
    </w:p>
    <w:p w14:paraId="4C320EDF" w14:textId="77777777" w:rsidR="00B46075" w:rsidRPr="00B46075" w:rsidRDefault="00B46075" w:rsidP="00B46075">
      <w:pPr>
        <w:numPr>
          <w:ilvl w:val="0"/>
          <w:numId w:val="1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Benennung der regulären Aufbewahrungsfristen,</w:t>
      </w:r>
    </w:p>
    <w:p w14:paraId="377150D0" w14:textId="77777777" w:rsidR="00B46075" w:rsidRPr="00B46075" w:rsidRDefault="00B46075" w:rsidP="00B46075">
      <w:pPr>
        <w:numPr>
          <w:ilvl w:val="0"/>
          <w:numId w:val="1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Mitteilung bevorstehender Löschungen,</w:t>
      </w:r>
    </w:p>
    <w:p w14:paraId="11360033" w14:textId="77777777" w:rsidR="00B46075" w:rsidRPr="00B46075" w:rsidRDefault="00B46075" w:rsidP="00B46075">
      <w:pPr>
        <w:numPr>
          <w:ilvl w:val="0"/>
          <w:numId w:val="1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Bezeichnung der verantwortlichen Stelle,</w:t>
      </w:r>
    </w:p>
    <w:p w14:paraId="5FB266B0" w14:textId="77777777" w:rsidR="00B46075" w:rsidRPr="00B46075" w:rsidRDefault="00B46075" w:rsidP="00B46075">
      <w:pPr>
        <w:numPr>
          <w:ilvl w:val="0"/>
          <w:numId w:val="1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Sicherung nur konkret identifizierter Datenkategorien,</w:t>
      </w:r>
    </w:p>
    <w:p w14:paraId="5A1A56B0" w14:textId="77777777" w:rsidR="00B46075" w:rsidRPr="00B46075" w:rsidRDefault="00B46075" w:rsidP="00B46075">
      <w:pPr>
        <w:numPr>
          <w:ilvl w:val="0"/>
          <w:numId w:val="1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gegebenenfalls Angebot, notwendige Sicherungskosten zu übernehmen.</w:t>
      </w:r>
    </w:p>
    <w:p w14:paraId="3F7C753B"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 pauschales „Sichern Sie alles aus zwei Jahren“ wird schnell mit Unbestimmtheit und unverhältnismäßigem Aufwand abgewehrt.</w:t>
      </w:r>
    </w:p>
    <w:p w14:paraId="24AA235D"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5DD87C04">
          <v:rect id="_x0000_i1036" style="width:0;height:1.5pt" o:hralign="center" o:hrstd="t" o:hr="t" fillcolor="#a0a0a0" stroked="f"/>
        </w:pict>
      </w:r>
    </w:p>
    <w:p w14:paraId="2E1B72D7"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5.6 Erinnerung und Aufforderung zur Entscheidung</w:t>
      </w:r>
    </w:p>
    <w:p w14:paraId="6E116397"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Schreiben ist gut strukturiert. Besonders stark ist die Forderung nach einer getrennten Entscheidung zu jeder Datenkategorie und nach Angabe der Rechtsgrundlage, der entgegenstehenden Interessen und der geprüften milderen Mittel.</w:t>
      </w:r>
    </w:p>
    <w:p w14:paraId="2C268E9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Aber:</w:t>
      </w:r>
    </w:p>
    <w:p w14:paraId="5E3A197D"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gesetzte Zweiwochenfrist ist zunächst eure Aufforderungsfrist. Sie bedeutet nicht automatisch, dass danach jede Verpflichtungs- oder Untätigkeitsklage zulässig wäre. § 75 VwGO sieht für einen Antrag auf Erlass eines Verwaltungsakts grundsätzlich eine Wartefrist von drei Monaten vor, sofern keine besonderen Umstände eine kürzere Frist rechtfertigen. (</w:t>
      </w:r>
      <w:hyperlink r:id="rId21" w:tooltip="https://www.gesetze-im-internet.de/vwgo/__75.html" w:history="1">
        <w:r w:rsidRPr="00B46075">
          <w:rPr>
            <w:rFonts w:ascii="Times New Roman" w:eastAsia="Times New Roman" w:hAnsi="Times New Roman" w:cs="Times New Roman"/>
            <w:color w:val="0000FF"/>
            <w:kern w:val="0"/>
            <w:u w:val="single"/>
            <w:lang w:eastAsia="de-DE"/>
            <w14:ligatures w14:val="none"/>
          </w:rPr>
          <w:t>Gesetze im Internet</w:t>
        </w:r>
      </w:hyperlink>
      <w:r w:rsidRPr="00B46075">
        <w:rPr>
          <w:rFonts w:ascii="Times New Roman" w:eastAsia="Times New Roman" w:hAnsi="Times New Roman" w:cs="Times New Roman"/>
          <w:kern w:val="0"/>
          <w:lang w:eastAsia="de-DE"/>
          <w14:ligatures w14:val="none"/>
        </w:rPr>
        <w:t>)</w:t>
      </w:r>
    </w:p>
    <w:p w14:paraId="75F0C54C"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05767422">
          <v:rect id="_x0000_i1035" style="width:0;height:1.5pt" o:hralign="center" o:hrstd="t" o:hr="t" fillcolor="#a0a0a0" stroked="f"/>
        </w:pict>
      </w:r>
    </w:p>
    <w:p w14:paraId="30CDDC3D"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5.7 Zentrale Anlage zum Forschungsprojekt</w:t>
      </w:r>
    </w:p>
    <w:p w14:paraId="6486CBBA"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Die Anlage ist als zweiseitige Übersicht verständlich. Sie reicht aber weder für einen ernsthaften Archivzugang noch für eine spätere gerichtliche Beweisführung.</w:t>
      </w:r>
    </w:p>
    <w:p w14:paraId="224287EC"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Sie muss zu einem echten Forschungsprotokoll ausgebaut werden. Insbesondere die Begriffe „Themenhäufigkeit“, „Bewertung“, „Akteursverteilung“ und „Vielfalt“ müssen operationalisiert werden.</w:t>
      </w:r>
    </w:p>
    <w:p w14:paraId="6D652B0B"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Außerdem befindet sich in Zeile 43 ein redaktioneller Fehler: „wAutomatisierte Verfahren“.</w:t>
      </w:r>
    </w:p>
    <w:p w14:paraId="5D313BA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Solche Kleinigkeiten sind banal, aber bei einem Projekt, das wissenschaftliche Präzision beansprucht, unnötige Angriffsflächen.</w:t>
      </w:r>
    </w:p>
    <w:p w14:paraId="44CB77A0"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64BB87B3">
          <v:rect id="_x0000_i1034" alt="" style="width:453.15pt;height:.05pt;mso-width-percent:0;mso-height-percent:0;mso-width-percent:0;mso-height-percent:0" o:hrpct="999" o:hralign="center" o:hrstd="t" o:hr="t" fillcolor="#a0a0a0" stroked="f"/>
        </w:pict>
      </w:r>
    </w:p>
    <w:p w14:paraId="4CB900CD"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5.8 Entwurf der Leistungsklage</w:t>
      </w:r>
    </w:p>
    <w:p w14:paraId="7060A3D8"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 xml:space="preserve">Der Entwurf ist </w:t>
      </w:r>
      <w:r w:rsidRPr="00B46075">
        <w:rPr>
          <w:rFonts w:ascii="Times New Roman" w:eastAsia="Times New Roman" w:hAnsi="Times New Roman" w:cs="Times New Roman"/>
          <w:b/>
          <w:bCs/>
          <w:kern w:val="0"/>
          <w:lang w:eastAsia="de-DE"/>
          <w14:ligatures w14:val="none"/>
        </w:rPr>
        <w:t>noch nicht einreichungsreif</w:t>
      </w:r>
      <w:r w:rsidRPr="00B46075">
        <w:rPr>
          <w:rFonts w:ascii="Times New Roman" w:eastAsia="Times New Roman" w:hAnsi="Times New Roman" w:cs="Times New Roman"/>
          <w:kern w:val="0"/>
          <w:lang w:eastAsia="de-DE"/>
          <w14:ligatures w14:val="none"/>
        </w:rPr>
        <w:t>.</w:t>
      </w:r>
    </w:p>
    <w:p w14:paraId="467A7A79"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Hauptprobleme sind:</w:t>
      </w:r>
    </w:p>
    <w:p w14:paraId="63B9481A"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Unbestimmter Hauptantrag</w:t>
      </w:r>
    </w:p>
    <w:p w14:paraId="560FE69C"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Verlangt werden alle Daten, die „erforderlich“ sind, um den wissenschaftlichen Vortrag führen zu können. Damit wird die eigentliche Bestimmung des Leistungsumfangs auf das Vollstreckungsverfahren verschoben.</w:t>
      </w:r>
    </w:p>
    <w:p w14:paraId="3B0ECE5B"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Zu breite Datenkategorien</w:t>
      </w:r>
    </w:p>
    <w:p w14:paraId="420F512D"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Der Antrag umfasst nicht nur veröffentlichte Inhalte, Transkripte und technische Metadaten, sondern auch interne Soll-Ist-Kontrollen, Monitoringberichte, Gremienvorlagen und interne Qualitätsunterlagen.</w:t>
      </w:r>
    </w:p>
    <w:p w14:paraId="60A9F633"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Damit liefert ihr dem Gegner die Gelegenheit, den gesamten Antrag unter dem Stichwort Programmautonomie, redaktioneller Kernbereich und Vertraulichkeit zu bekämpfen.</w:t>
      </w:r>
    </w:p>
    <w:p w14:paraId="7356EDF9"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Fehlende Anspruchsnorm</w:t>
      </w:r>
    </w:p>
    <w:p w14:paraId="68F4556D"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Der Entwurf erklärt ausführlich, weshalb der Zugang sinnvoll und rechtsstaatlich wünschenswert ist. Er zeigt aber nicht hinreichend, welche konkrete Norm den geltend gemachten Leistungsanspruch vermittelt.</w:t>
      </w:r>
    </w:p>
    <w:p w14:paraId="007E2D10"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Problematische Hilfsanträge</w:t>
      </w:r>
    </w:p>
    <w:p w14:paraId="039378F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Feststellung einer allgemeinen tatsächlichen Unmöglichkeit ist zu abstrakt und steht in Spannung zur ausdrücklichen Aussage des Bundesverwaltungsgerichts, die Hürde sei nicht unüberwindbar.</w:t>
      </w:r>
    </w:p>
    <w:p w14:paraId="4B94270C"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Vermischung mehrerer Rechtsverhältnisse</w:t>
      </w:r>
    </w:p>
    <w:p w14:paraId="0DAAC6C0"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Beitragsverhältnis, Forschungszugang, Archivbenutzung, Informationszugang und gerichtliche Sachaufklärung werden zu einem einzigen Rechtsverhältnis zusammengezogen. Das sollte getrennt werden.</w:t>
      </w:r>
    </w:p>
    <w:p w14:paraId="6B97654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Der neue Klageantrag müsste wesentlich enger sein, beispielsweise zunächst nur auf:</w:t>
      </w:r>
    </w:p>
    <w:p w14:paraId="2A15311B" w14:textId="77777777" w:rsidR="00B46075" w:rsidRPr="00B46075" w:rsidRDefault="00B46075" w:rsidP="00B46075">
      <w:pPr>
        <w:numPr>
          <w:ilvl w:val="0"/>
          <w:numId w:val="1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eine Entscheidung über genau bezeichnete Teilanträge,</w:t>
      </w:r>
    </w:p>
    <w:p w14:paraId="0A09AA42" w14:textId="77777777" w:rsidR="00B46075" w:rsidRPr="00B46075" w:rsidRDefault="00B46075" w:rsidP="00B46075">
      <w:pPr>
        <w:numPr>
          <w:ilvl w:val="0"/>
          <w:numId w:val="1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Auskunft über Bestand und Formate,</w:t>
      </w:r>
    </w:p>
    <w:p w14:paraId="2FD56A76" w14:textId="77777777" w:rsidR="00B46075" w:rsidRPr="00B46075" w:rsidRDefault="00B46075" w:rsidP="00B46075">
      <w:pPr>
        <w:numPr>
          <w:ilvl w:val="0"/>
          <w:numId w:val="1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Zugang zu vorhandenen nicht-redaktionellen Metadaten,</w:t>
      </w:r>
    </w:p>
    <w:p w14:paraId="29620B75" w14:textId="77777777" w:rsidR="00B46075" w:rsidRPr="00B46075" w:rsidRDefault="00B46075" w:rsidP="00B46075">
      <w:pPr>
        <w:numPr>
          <w:ilvl w:val="0"/>
          <w:numId w:val="1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einen zeitlich begrenzten Pilotzugang,</w:t>
      </w:r>
    </w:p>
    <w:p w14:paraId="315E5222" w14:textId="77777777" w:rsidR="00B46075" w:rsidRPr="00B46075" w:rsidRDefault="00B46075" w:rsidP="00B46075">
      <w:pPr>
        <w:numPr>
          <w:ilvl w:val="0"/>
          <w:numId w:val="1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hilfsweise erneute ermessensfehlerfreie Entscheidung unter Prüfung abgestufter Zugangsmöglichkeiten.</w:t>
      </w:r>
    </w:p>
    <w:p w14:paraId="0A81B8E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Aber auch das erst, nachdem die Anspruchsgrundlage der konkreten Anstalt feststeht.</w:t>
      </w:r>
    </w:p>
    <w:p w14:paraId="2D9EFB2A"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245632B3">
          <v:rect id="_x0000_i1033" style="width:0;height:1.5pt" o:hralign="center" o:hrstd="t" o:hr="t" fillcolor="#a0a0a0" stroked="f"/>
        </w:pict>
      </w:r>
    </w:p>
    <w:p w14:paraId="47164928"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5.9 Erwiderung auf den Hessischen Rundfunk</w:t>
      </w:r>
    </w:p>
    <w:p w14:paraId="3D0167A3"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Hier muss ich sehr deutlich sein:</w:t>
      </w:r>
    </w:p>
    <w:p w14:paraId="79F1A57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Der vorliegende Entwurf darf in dieser Form keinesfalls bei Gericht eingereicht werden.</w:t>
      </w:r>
    </w:p>
    <w:p w14:paraId="4665AA7C"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Er enthält mehrere interne Arbeits- und Strategiekommentare mitten im vermeintlichen Schriftsatz.</w:t>
      </w:r>
    </w:p>
    <w:p w14:paraId="454A323C"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Beispielsweise:</w:t>
      </w:r>
    </w:p>
    <w:p w14:paraId="4A7603CF" w14:textId="77777777" w:rsidR="00B46075" w:rsidRPr="00B46075" w:rsidRDefault="00B46075" w:rsidP="00B46075">
      <w:pPr>
        <w:numPr>
          <w:ilvl w:val="0"/>
          <w:numId w:val="20"/>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„Ich würde bewusst nicht den Stil eines gewöhnlichen Anwalts wählen.“</w:t>
      </w:r>
    </w:p>
    <w:p w14:paraId="2C7CF823" w14:textId="77777777" w:rsidR="00B46075" w:rsidRPr="00B46075" w:rsidRDefault="00B46075" w:rsidP="00B46075">
      <w:pPr>
        <w:numPr>
          <w:ilvl w:val="0"/>
          <w:numId w:val="20"/>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Der Richter solle nach 15 Seiten denken: „Verdammt …“</w:t>
      </w:r>
    </w:p>
    <w:p w14:paraId="51482BAF" w14:textId="77777777" w:rsidR="00B46075" w:rsidRPr="00B46075" w:rsidRDefault="00B46075" w:rsidP="00B46075">
      <w:pPr>
        <w:numPr>
          <w:ilvl w:val="0"/>
          <w:numId w:val="20"/>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„Anmerkung zur Strategie“</w:t>
      </w:r>
    </w:p>
    <w:p w14:paraId="58C0B1AA" w14:textId="77777777" w:rsidR="00B46075" w:rsidRPr="00B46075" w:rsidRDefault="00B46075" w:rsidP="00B46075">
      <w:pPr>
        <w:numPr>
          <w:ilvl w:val="0"/>
          <w:numId w:val="20"/>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„Sehr gut. Jetzt kommt der Teil, den ich persönlich für den stärksten … halte.“</w:t>
      </w:r>
    </w:p>
    <w:p w14:paraId="736C9F78"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sind erkennbar Werkstattnotizen. Werden sie eingereicht, beschädigen sie die Seriosität des gesamten Vortrags.</w:t>
      </w:r>
    </w:p>
    <w:p w14:paraId="292EC132"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Auch inhaltlich ist der Schriftsatz zu lang und zu wiederholungsreich. Der HR trägt auf wenigen Seiten im Wesentlichen drei Punkte vor:</w:t>
      </w:r>
    </w:p>
    <w:p w14:paraId="01B665B9" w14:textId="77777777" w:rsidR="00B46075" w:rsidRPr="00B46075" w:rsidRDefault="00B46075" w:rsidP="00B46075">
      <w:pPr>
        <w:numPr>
          <w:ilvl w:val="0"/>
          <w:numId w:val="21"/>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Keine sekundäre Darlegungslast ohne greifbare Anfangstatsachen.</w:t>
      </w:r>
    </w:p>
    <w:p w14:paraId="4D69136B" w14:textId="77777777" w:rsidR="00B46075" w:rsidRPr="00B46075" w:rsidRDefault="00B46075" w:rsidP="00B46075">
      <w:pPr>
        <w:numPr>
          <w:ilvl w:val="0"/>
          <w:numId w:val="21"/>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 86 VwGO ersetzt nicht die primäre Substantiierung.</w:t>
      </w:r>
    </w:p>
    <w:p w14:paraId="531AC5F7" w14:textId="77777777" w:rsidR="00B46075" w:rsidRPr="00B46075" w:rsidRDefault="00B46075" w:rsidP="00B46075">
      <w:pPr>
        <w:numPr>
          <w:ilvl w:val="0"/>
          <w:numId w:val="21"/>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 unbegrenzter Datenzugang berührt die Programmautonomie.</w:t>
      </w:r>
    </w:p>
    <w:p w14:paraId="45297A42"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Diese Argumente sind im eingescannten HR-Schriftsatz auf den Seiten 2 bis 6 klar erkennbar.</w:t>
      </w:r>
    </w:p>
    <w:p w14:paraId="63441489"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Eure Antwort sollte darauf nicht mit 40 Seiten neuer Theorie reagieren, sondern mit vier klaren Zugeständnissen und einer präzisen Abgrenzung:</w:t>
      </w:r>
    </w:p>
    <w:p w14:paraId="45D4AE73"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Wir verlangen keine allgemeine Beweislastumkehr.</w:t>
      </w:r>
      <w:r w:rsidRPr="00B46075">
        <w:rPr>
          <w:rFonts w:ascii="Times New Roman" w:eastAsia="Times New Roman" w:hAnsi="Times New Roman" w:cs="Times New Roman"/>
          <w:kern w:val="0"/>
          <w:lang w:eastAsia="de-DE"/>
          <w14:ligatures w14:val="none"/>
        </w:rPr>
        <w:br/>
        <w:t>Wir verlangen keinen schrankenlosen Datenzugang.</w:t>
      </w:r>
      <w:r w:rsidRPr="00B46075">
        <w:rPr>
          <w:rFonts w:ascii="Times New Roman" w:eastAsia="Times New Roman" w:hAnsi="Times New Roman" w:cs="Times New Roman"/>
          <w:kern w:val="0"/>
          <w:lang w:eastAsia="de-DE"/>
          <w14:ligatures w14:val="none"/>
        </w:rPr>
        <w:br/>
        <w:t>Wir verlangen keinen Einblick in Quellen oder redaktionelle Meinungsbildung.</w:t>
      </w:r>
      <w:r w:rsidRPr="00B46075">
        <w:rPr>
          <w:rFonts w:ascii="Times New Roman" w:eastAsia="Times New Roman" w:hAnsi="Times New Roman" w:cs="Times New Roman"/>
          <w:kern w:val="0"/>
          <w:lang w:eastAsia="de-DE"/>
          <w14:ligatures w14:val="none"/>
        </w:rPr>
        <w:br/>
      </w:r>
      <w:r w:rsidRPr="00B46075">
        <w:rPr>
          <w:rFonts w:ascii="Times New Roman" w:eastAsia="Times New Roman" w:hAnsi="Times New Roman" w:cs="Times New Roman"/>
          <w:kern w:val="0"/>
          <w:lang w:eastAsia="de-DE"/>
          <w14:ligatures w14:val="none"/>
        </w:rPr>
        <w:lastRenderedPageBreak/>
        <w:t>Wir verlangen zunächst nur die Klärung konkret bezeichneter, entscheidungserheblicher und nicht öffentlich verfügbarer Informationskategorien.</w:t>
      </w:r>
    </w:p>
    <w:p w14:paraId="0B35541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Der gegenwärtige Satz, der HR habe die Kernfrage nicht beantwortet, ist rhetorisch stark, rechtlich aber nicht ausreichend. Das Gericht könnte erwidern, dass nicht der HR erklären müsse, wie der Kläger sein Gutachten erstellt, sondern dass der Kläger nach dem Bundesverwaltungsgericht zunächst einen wissenschaftlich tragfähigen Anfangsvortrag liefern muss.</w:t>
      </w:r>
    </w:p>
    <w:p w14:paraId="17E78F76"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Empfohlene neue Gliederung der HR-Erwiderung</w:t>
      </w:r>
    </w:p>
    <w:p w14:paraId="29774F93" w14:textId="77777777" w:rsidR="00B46075" w:rsidRPr="00B46075" w:rsidRDefault="00B46075" w:rsidP="00B46075">
      <w:pPr>
        <w:numPr>
          <w:ilvl w:val="0"/>
          <w:numId w:val="2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Genaue Begrenzung des Begehrens</w:t>
      </w:r>
    </w:p>
    <w:p w14:paraId="61348C99" w14:textId="77777777" w:rsidR="00B46075" w:rsidRPr="00B46075" w:rsidRDefault="00B46075" w:rsidP="00B46075">
      <w:pPr>
        <w:numPr>
          <w:ilvl w:val="0"/>
          <w:numId w:val="2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Keine allgemeine Beweislastumkehr</w:t>
      </w:r>
    </w:p>
    <w:p w14:paraId="3802AD63" w14:textId="77777777" w:rsidR="00B46075" w:rsidRPr="00B46075" w:rsidRDefault="00B46075" w:rsidP="00B46075">
      <w:pPr>
        <w:numPr>
          <w:ilvl w:val="0"/>
          <w:numId w:val="2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Konkrete öffentlich nicht verfügbare Datenkategorien</w:t>
      </w:r>
    </w:p>
    <w:p w14:paraId="59C286B4" w14:textId="77777777" w:rsidR="00B46075" w:rsidRPr="00B46075" w:rsidRDefault="00B46075" w:rsidP="00B46075">
      <w:pPr>
        <w:numPr>
          <w:ilvl w:val="0"/>
          <w:numId w:val="2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Beleg für deren mutmaßliche Existenz</w:t>
      </w:r>
    </w:p>
    <w:p w14:paraId="16B69C22" w14:textId="77777777" w:rsidR="00B46075" w:rsidRPr="00B46075" w:rsidRDefault="00B46075" w:rsidP="00B46075">
      <w:pPr>
        <w:numPr>
          <w:ilvl w:val="0"/>
          <w:numId w:val="2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Bedeutung jeder Kategorie für einen bestimmten Untersuchungsindikator</w:t>
      </w:r>
    </w:p>
    <w:p w14:paraId="769077AD" w14:textId="77777777" w:rsidR="00B46075" w:rsidRPr="00B46075" w:rsidRDefault="00B46075" w:rsidP="00B46075">
      <w:pPr>
        <w:numPr>
          <w:ilvl w:val="0"/>
          <w:numId w:val="2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Mildere Zugangsformen</w:t>
      </w:r>
    </w:p>
    <w:p w14:paraId="1F4C11F3" w14:textId="77777777" w:rsidR="00B46075" w:rsidRPr="00B46075" w:rsidRDefault="00B46075" w:rsidP="00B46075">
      <w:pPr>
        <w:numPr>
          <w:ilvl w:val="0"/>
          <w:numId w:val="2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Konkrete gerichtliche Aufklärungsanregung</w:t>
      </w:r>
    </w:p>
    <w:p w14:paraId="4459528C" w14:textId="77777777" w:rsidR="00B46075" w:rsidRPr="00B46075" w:rsidRDefault="00B46075" w:rsidP="00B46075">
      <w:pPr>
        <w:numPr>
          <w:ilvl w:val="0"/>
          <w:numId w:val="2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Hilfsweise Bestandsauskunft</w:t>
      </w:r>
    </w:p>
    <w:p w14:paraId="31C0925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Umfang: ungefähr 12 bis 18 Seiten, nicht mehr.</w:t>
      </w:r>
    </w:p>
    <w:p w14:paraId="43BAC00A"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7486CF27">
          <v:rect id="_x0000_i1032" style="width:0;height:1.5pt" o:hralign="center" o:hrstd="t" o:hr="t" fillcolor="#a0a0a0" stroked="f"/>
        </w:pict>
      </w:r>
    </w:p>
    <w:p w14:paraId="6E660E74" w14:textId="77777777" w:rsidR="00B46075" w:rsidRPr="00B46075" w:rsidRDefault="00B46075" w:rsidP="00B46075">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B46075">
        <w:rPr>
          <w:rFonts w:ascii="Times New Roman" w:eastAsia="Times New Roman" w:hAnsi="Times New Roman" w:cs="Times New Roman"/>
          <w:b/>
          <w:bCs/>
          <w:kern w:val="36"/>
          <w:sz w:val="48"/>
          <w:szCs w:val="48"/>
          <w:lang w:eastAsia="de-DE"/>
          <w14:ligatures w14:val="none"/>
        </w:rPr>
        <w:t>6. Wie die vier Gutachten künftig verwendet werden können</w:t>
      </w:r>
    </w:p>
    <w:p w14:paraId="5C457BA3"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Übersicht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21"/>
        <w:gridCol w:w="2951"/>
        <w:gridCol w:w="3594"/>
      </w:tblGrid>
      <w:tr w:rsidR="00B46075" w:rsidRPr="00B46075" w14:paraId="06684AFC" w14:textId="77777777">
        <w:trPr>
          <w:tblHeader/>
          <w:tblCellSpacing w:w="15" w:type="dxa"/>
        </w:trPr>
        <w:tc>
          <w:tcPr>
            <w:tcW w:w="0" w:type="auto"/>
            <w:vAlign w:val="center"/>
            <w:hideMark/>
          </w:tcPr>
          <w:p w14:paraId="70A51406" w14:textId="77777777" w:rsidR="00B46075" w:rsidRPr="00B46075" w:rsidRDefault="00B46075" w:rsidP="00B46075">
            <w:pPr>
              <w:jc w:val="center"/>
              <w:rPr>
                <w:rFonts w:ascii="Times New Roman" w:eastAsia="Times New Roman" w:hAnsi="Times New Roman" w:cs="Times New Roman"/>
                <w:b/>
                <w:bCs/>
                <w:kern w:val="0"/>
                <w:lang w:eastAsia="de-DE"/>
                <w14:ligatures w14:val="none"/>
              </w:rPr>
            </w:pPr>
            <w:r w:rsidRPr="00B46075">
              <w:rPr>
                <w:rFonts w:ascii="Times New Roman" w:eastAsia="Times New Roman" w:hAnsi="Times New Roman" w:cs="Times New Roman"/>
                <w:b/>
                <w:bCs/>
                <w:kern w:val="0"/>
                <w:lang w:eastAsia="de-DE"/>
                <w14:ligatures w14:val="none"/>
              </w:rPr>
              <w:t>Gutachten</w:t>
            </w:r>
          </w:p>
        </w:tc>
        <w:tc>
          <w:tcPr>
            <w:tcW w:w="0" w:type="auto"/>
            <w:vAlign w:val="center"/>
            <w:hideMark/>
          </w:tcPr>
          <w:p w14:paraId="07FE1508" w14:textId="77777777" w:rsidR="00B46075" w:rsidRPr="00B46075" w:rsidRDefault="00B46075" w:rsidP="00B46075">
            <w:pPr>
              <w:jc w:val="center"/>
              <w:rPr>
                <w:rFonts w:ascii="Times New Roman" w:eastAsia="Times New Roman" w:hAnsi="Times New Roman" w:cs="Times New Roman"/>
                <w:b/>
                <w:bCs/>
                <w:kern w:val="0"/>
                <w:lang w:eastAsia="de-DE"/>
                <w14:ligatures w14:val="none"/>
              </w:rPr>
            </w:pPr>
            <w:r w:rsidRPr="00B46075">
              <w:rPr>
                <w:rFonts w:ascii="Times New Roman" w:eastAsia="Times New Roman" w:hAnsi="Times New Roman" w:cs="Times New Roman"/>
                <w:b/>
                <w:bCs/>
                <w:kern w:val="0"/>
                <w:lang w:eastAsia="de-DE"/>
                <w14:ligatures w14:val="none"/>
              </w:rPr>
              <w:t>Sinnvolle Verwendung</w:t>
            </w:r>
          </w:p>
        </w:tc>
        <w:tc>
          <w:tcPr>
            <w:tcW w:w="0" w:type="auto"/>
            <w:vAlign w:val="center"/>
            <w:hideMark/>
          </w:tcPr>
          <w:p w14:paraId="39798822" w14:textId="77777777" w:rsidR="00B46075" w:rsidRPr="00B46075" w:rsidRDefault="00B46075" w:rsidP="00B46075">
            <w:pPr>
              <w:jc w:val="center"/>
              <w:rPr>
                <w:rFonts w:ascii="Times New Roman" w:eastAsia="Times New Roman" w:hAnsi="Times New Roman" w:cs="Times New Roman"/>
                <w:b/>
                <w:bCs/>
                <w:kern w:val="0"/>
                <w:lang w:eastAsia="de-DE"/>
                <w14:ligatures w14:val="none"/>
              </w:rPr>
            </w:pPr>
            <w:r w:rsidRPr="00B46075">
              <w:rPr>
                <w:rFonts w:ascii="Times New Roman" w:eastAsia="Times New Roman" w:hAnsi="Times New Roman" w:cs="Times New Roman"/>
                <w:b/>
                <w:bCs/>
                <w:kern w:val="0"/>
                <w:lang w:eastAsia="de-DE"/>
                <w14:ligatures w14:val="none"/>
              </w:rPr>
              <w:t>Nicht verwenden als</w:t>
            </w:r>
          </w:p>
        </w:tc>
      </w:tr>
      <w:tr w:rsidR="00B46075" w:rsidRPr="00B46075" w14:paraId="0CE4DFCD" w14:textId="77777777">
        <w:trPr>
          <w:tblCellSpacing w:w="15" w:type="dxa"/>
        </w:trPr>
        <w:tc>
          <w:tcPr>
            <w:tcW w:w="0" w:type="auto"/>
            <w:vAlign w:val="center"/>
            <w:hideMark/>
          </w:tcPr>
          <w:p w14:paraId="6A1155B9"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V-Gutachten</w:t>
            </w:r>
          </w:p>
        </w:tc>
        <w:tc>
          <w:tcPr>
            <w:tcW w:w="0" w:type="auto"/>
            <w:vAlign w:val="center"/>
            <w:hideMark/>
          </w:tcPr>
          <w:p w14:paraId="3612928B"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methodisch-rechtliche Vorstudie und qualifizierter Parteivortrag</w:t>
            </w:r>
          </w:p>
        </w:tc>
        <w:tc>
          <w:tcPr>
            <w:tcW w:w="0" w:type="auto"/>
            <w:vAlign w:val="center"/>
            <w:hideMark/>
          </w:tcPr>
          <w:p w14:paraId="018CAD66"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abschließendes wissenschaftliches Gesamtprogrammgutachten</w:t>
            </w:r>
          </w:p>
        </w:tc>
      </w:tr>
      <w:tr w:rsidR="00B46075" w:rsidRPr="00B46075" w14:paraId="195D8A70" w14:textId="77777777">
        <w:trPr>
          <w:tblCellSpacing w:w="15" w:type="dxa"/>
        </w:trPr>
        <w:tc>
          <w:tcPr>
            <w:tcW w:w="0" w:type="auto"/>
            <w:vAlign w:val="center"/>
            <w:hideMark/>
          </w:tcPr>
          <w:p w14:paraId="436A625D"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Rundfunkalarm-Gutachten</w:t>
            </w:r>
          </w:p>
        </w:tc>
        <w:tc>
          <w:tcPr>
            <w:tcW w:w="0" w:type="auto"/>
            <w:vAlign w:val="center"/>
            <w:hideMark/>
          </w:tcPr>
          <w:p w14:paraId="634C532D"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empirischer Hinweis auf Umfang und Behandlung des Beschwerdewegs</w:t>
            </w:r>
          </w:p>
        </w:tc>
        <w:tc>
          <w:tcPr>
            <w:tcW w:w="0" w:type="auto"/>
            <w:vAlign w:val="center"/>
            <w:hideMark/>
          </w:tcPr>
          <w:p w14:paraId="021FCF3A"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Beweis für Programmverfassungswidrigkeit</w:t>
            </w:r>
          </w:p>
        </w:tc>
      </w:tr>
      <w:tr w:rsidR="00B46075" w:rsidRPr="00B46075" w14:paraId="0BB41EDC" w14:textId="77777777">
        <w:trPr>
          <w:tblCellSpacing w:w="15" w:type="dxa"/>
        </w:trPr>
        <w:tc>
          <w:tcPr>
            <w:tcW w:w="0" w:type="auto"/>
            <w:vAlign w:val="center"/>
            <w:hideMark/>
          </w:tcPr>
          <w:p w14:paraId="34949E2B"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Kurz-Gutachten</w:t>
            </w:r>
          </w:p>
        </w:tc>
        <w:tc>
          <w:tcPr>
            <w:tcW w:w="0" w:type="auto"/>
            <w:vAlign w:val="center"/>
            <w:hideMark/>
          </w:tcPr>
          <w:p w14:paraId="448499EF"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konzentrierte rechtswissenschaftliche Stellungnahme</w:t>
            </w:r>
          </w:p>
        </w:tc>
        <w:tc>
          <w:tcPr>
            <w:tcW w:w="0" w:type="auto"/>
            <w:vAlign w:val="center"/>
            <w:hideMark/>
          </w:tcPr>
          <w:p w14:paraId="2E123626"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eigenständige Anspruchsgrundlage</w:t>
            </w:r>
          </w:p>
        </w:tc>
      </w:tr>
      <w:tr w:rsidR="00B46075" w:rsidRPr="00B46075" w14:paraId="6FD28C44" w14:textId="77777777">
        <w:trPr>
          <w:tblCellSpacing w:w="15" w:type="dxa"/>
        </w:trPr>
        <w:tc>
          <w:tcPr>
            <w:tcW w:w="0" w:type="auto"/>
            <w:vAlign w:val="center"/>
            <w:hideMark/>
          </w:tcPr>
          <w:p w14:paraId="1810833D"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Grundlagenuntersuchung</w:t>
            </w:r>
          </w:p>
        </w:tc>
        <w:tc>
          <w:tcPr>
            <w:tcW w:w="0" w:type="auto"/>
            <w:vAlign w:val="center"/>
            <w:hideMark/>
          </w:tcPr>
          <w:p w14:paraId="4C87802B"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wissenschaftlich-theoretischer Hintergrund und Publikation</w:t>
            </w:r>
          </w:p>
        </w:tc>
        <w:tc>
          <w:tcPr>
            <w:tcW w:w="0" w:type="auto"/>
            <w:vAlign w:val="center"/>
            <w:hideMark/>
          </w:tcPr>
          <w:p w14:paraId="054CD6A1" w14:textId="77777777" w:rsidR="00B46075" w:rsidRPr="00B46075" w:rsidRDefault="00B46075" w:rsidP="00B46075">
            <w:pPr>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205-seitige Standardanlage in jedem Verfahren</w:t>
            </w:r>
          </w:p>
        </w:tc>
      </w:tr>
    </w:tbl>
    <w:p w14:paraId="7B5C0C3A"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2803523F">
          <v:rect id="_x0000_i1031" style="width:0;height:1.5pt" o:hralign="center" o:hrstd="t" o:hr="t" fillcolor="#a0a0a0" stroked="f"/>
        </w:pict>
      </w:r>
    </w:p>
    <w:p w14:paraId="154E131F"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6.1 V-Gutachten</w:t>
      </w:r>
    </w:p>
    <w:p w14:paraId="6F403E1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V-Gutachten ist als Ideenspeicher und methodische Vorstudie wertvoll.</w:t>
      </w:r>
    </w:p>
    <w:p w14:paraId="0E9ACA2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Es bezeichnet sich selbst ausdrücklich nicht als gerichtliches Sachverständigengutachten. Es soll Tatsachen, Indizien und Widersprüche aufzeigen, die weiteren Aufklärungsbedarf begründen. Außerdem wird offengelegt, dass KI-Werkzeuge bei Strukturierung und sprachlicher Aufbereitung eingesetzt wurden.</w:t>
      </w:r>
    </w:p>
    <w:p w14:paraId="634B07AC"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Genau bei dieser bescheidenen Einordnung sollte es bleiben.</w:t>
      </w:r>
    </w:p>
    <w:p w14:paraId="50723DD4"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Verwendbar für</w:t>
      </w:r>
    </w:p>
    <w:p w14:paraId="49BAE0E1" w14:textId="77777777" w:rsidR="00B46075" w:rsidRPr="00B46075" w:rsidRDefault="00B46075" w:rsidP="00B46075">
      <w:pPr>
        <w:numPr>
          <w:ilvl w:val="0"/>
          <w:numId w:val="2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Darstellung des Forschungsproblems,</w:t>
      </w:r>
    </w:p>
    <w:p w14:paraId="2152030A" w14:textId="77777777" w:rsidR="00B46075" w:rsidRPr="00B46075" w:rsidRDefault="00B46075" w:rsidP="00B46075">
      <w:pPr>
        <w:numPr>
          <w:ilvl w:val="0"/>
          <w:numId w:val="2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Identifizierung möglicherweise benötigter Daten,</w:t>
      </w:r>
    </w:p>
    <w:p w14:paraId="624B4E4E" w14:textId="77777777" w:rsidR="00B46075" w:rsidRPr="00B46075" w:rsidRDefault="00B46075" w:rsidP="00B46075">
      <w:pPr>
        <w:numPr>
          <w:ilvl w:val="0"/>
          <w:numId w:val="2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Beschreibung denkbarer Untersuchungsmethoden,</w:t>
      </w:r>
    </w:p>
    <w:p w14:paraId="7E07DE99" w14:textId="77777777" w:rsidR="00B46075" w:rsidRPr="00B46075" w:rsidRDefault="00B46075" w:rsidP="00B46075">
      <w:pPr>
        <w:numPr>
          <w:ilvl w:val="0"/>
          <w:numId w:val="2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Begründung eines Pilotzugangs,</w:t>
      </w:r>
    </w:p>
    <w:p w14:paraId="0EF392BD" w14:textId="77777777" w:rsidR="00B46075" w:rsidRPr="00B46075" w:rsidRDefault="00B46075" w:rsidP="00B46075">
      <w:pPr>
        <w:numPr>
          <w:ilvl w:val="0"/>
          <w:numId w:val="2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Entwicklung konkreter Beweis- und Auskunftsfragen.</w:t>
      </w:r>
    </w:p>
    <w:p w14:paraId="31511994"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Nicht ausreichend für</w:t>
      </w:r>
    </w:p>
    <w:p w14:paraId="0F4F1018" w14:textId="77777777" w:rsidR="00B46075" w:rsidRPr="00B46075" w:rsidRDefault="00B46075" w:rsidP="00B46075">
      <w:pPr>
        <w:numPr>
          <w:ilvl w:val="0"/>
          <w:numId w:val="2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Nachweis evidenter und regelmäßiger Defizite des Gesamtangebots,</w:t>
      </w:r>
    </w:p>
    <w:p w14:paraId="67292D93" w14:textId="77777777" w:rsidR="00B46075" w:rsidRPr="00B46075" w:rsidRDefault="00B46075" w:rsidP="00B46075">
      <w:pPr>
        <w:numPr>
          <w:ilvl w:val="0"/>
          <w:numId w:val="2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Nachweis, dass sämtliche verlangten Daten tatsächlich vorhanden sind,</w:t>
      </w:r>
    </w:p>
    <w:p w14:paraId="31C65DD5" w14:textId="77777777" w:rsidR="00B46075" w:rsidRPr="00B46075" w:rsidRDefault="00B46075" w:rsidP="00B46075">
      <w:pPr>
        <w:numPr>
          <w:ilvl w:val="0"/>
          <w:numId w:val="2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Nachweis eines rechtlichen Anspruchs auf Herausgabe,</w:t>
      </w:r>
    </w:p>
    <w:p w14:paraId="220A90C5" w14:textId="77777777" w:rsidR="00B46075" w:rsidRPr="00B46075" w:rsidRDefault="00B46075" w:rsidP="00B46075">
      <w:pPr>
        <w:numPr>
          <w:ilvl w:val="0"/>
          <w:numId w:val="2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Ersatz eines unabhängigen medienwissenschaftlichen Gutachtens.</w:t>
      </w:r>
    </w:p>
    <w:p w14:paraId="0A60879F"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Erforderliche Überarbeitung</w:t>
      </w:r>
    </w:p>
    <w:p w14:paraId="343F9F20" w14:textId="77777777" w:rsidR="00B46075" w:rsidRPr="00B46075" w:rsidRDefault="00B46075" w:rsidP="00B46075">
      <w:pPr>
        <w:numPr>
          <w:ilvl w:val="0"/>
          <w:numId w:val="2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Kürzung auf etwa 20 bis 30 Seiten gerichtlichen Kerntext,</w:t>
      </w:r>
    </w:p>
    <w:p w14:paraId="07C86997" w14:textId="77777777" w:rsidR="00B46075" w:rsidRPr="00B46075" w:rsidRDefault="00B46075" w:rsidP="00B46075">
      <w:pPr>
        <w:numPr>
          <w:ilvl w:val="0"/>
          <w:numId w:val="2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vollständige manuelle Kontrolle sämtlicher Urteile und Zitate,</w:t>
      </w:r>
    </w:p>
    <w:p w14:paraId="2E878CF7" w14:textId="77777777" w:rsidR="00B46075" w:rsidRPr="00B46075" w:rsidRDefault="00B46075" w:rsidP="00B46075">
      <w:pPr>
        <w:numPr>
          <w:ilvl w:val="0"/>
          <w:numId w:val="2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klare Trennung von Tatsachen, Rechtsmeinung und Hypothesen,</w:t>
      </w:r>
    </w:p>
    <w:p w14:paraId="2137A1AB" w14:textId="77777777" w:rsidR="00B46075" w:rsidRPr="00B46075" w:rsidRDefault="00B46075" w:rsidP="00B46075">
      <w:pPr>
        <w:numPr>
          <w:ilvl w:val="0"/>
          <w:numId w:val="2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Beseitigung absoluter Behauptungen,</w:t>
      </w:r>
    </w:p>
    <w:p w14:paraId="6E41F0F7" w14:textId="77777777" w:rsidR="00B46075" w:rsidRPr="00B46075" w:rsidRDefault="00B46075" w:rsidP="00B46075">
      <w:pPr>
        <w:numPr>
          <w:ilvl w:val="0"/>
          <w:numId w:val="2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externe medienwissenschaftliche Begutachtung,</w:t>
      </w:r>
    </w:p>
    <w:p w14:paraId="72C61762" w14:textId="77777777" w:rsidR="00B46075" w:rsidRPr="00B46075" w:rsidRDefault="00B46075" w:rsidP="00B46075">
      <w:pPr>
        <w:numPr>
          <w:ilvl w:val="0"/>
          <w:numId w:val="2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keine Eigenzitate als Autoritätsersatz,</w:t>
      </w:r>
    </w:p>
    <w:p w14:paraId="347BFAC5" w14:textId="77777777" w:rsidR="00B46075" w:rsidRPr="00B46075" w:rsidRDefault="00B46075" w:rsidP="00B46075">
      <w:pPr>
        <w:numPr>
          <w:ilvl w:val="0"/>
          <w:numId w:val="2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Gegenpositionen ausdrücklich darstellen.</w:t>
      </w:r>
    </w:p>
    <w:p w14:paraId="13502E43"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Besonders die Übertragung der BGH-Entscheidung VI ZR 335/24 ist zu korrigieren. Das V-Gutachten leitet daraus gesteigerte Offenlegungs- und Darlegungspflichten bei Informationsasymmetrie ab.</w:t>
      </w:r>
    </w:p>
    <w:p w14:paraId="060B79E3"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BGH-Entscheidung betrifft jedoch einen ausdrücklich gesetzlich geregelten Auskunftsanspruch nach § 84a AMG. Sie begründet keinen allgemeinen, gesetzesunabhängigen Datenzugangsanspruch gegenüber beliebigen Institutionen. (</w:t>
      </w:r>
      <w:hyperlink r:id="rId22" w:tooltip="https://www.bundesgerichtshof.de/SharedDocs/Entscheidungen/DE/Zivilsenate/VI_ZS/2024/VI_ZR_335-24.pdf?__blob=publicationFile&amp;v=5" w:history="1">
        <w:r w:rsidRPr="00B46075">
          <w:rPr>
            <w:rFonts w:ascii="Times New Roman" w:eastAsia="Times New Roman" w:hAnsi="Times New Roman" w:cs="Times New Roman"/>
            <w:color w:val="0000FF"/>
            <w:kern w:val="0"/>
            <w:u w:val="single"/>
            <w:lang w:eastAsia="de-DE"/>
            <w14:ligatures w14:val="none"/>
          </w:rPr>
          <w:t>Bundesgerichtshof</w:t>
        </w:r>
      </w:hyperlink>
      <w:r w:rsidRPr="00B46075">
        <w:rPr>
          <w:rFonts w:ascii="Times New Roman" w:eastAsia="Times New Roman" w:hAnsi="Times New Roman" w:cs="Times New Roman"/>
          <w:kern w:val="0"/>
          <w:lang w:eastAsia="de-DE"/>
          <w14:ligatures w14:val="none"/>
        </w:rPr>
        <w:t>)</w:t>
      </w:r>
    </w:p>
    <w:p w14:paraId="014FC020"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Der allgemeine Gedanke der Informationsnähe kann als Analogie diskutiert werden. Er darf aber nicht so dargestellt werden, als habe der BGH bereits einen übertragbaren allgemeinen Offenlegungsgrundsatz ausgesprochen.</w:t>
      </w:r>
    </w:p>
    <w:p w14:paraId="6B8A4A1D"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26D6CD25">
          <v:rect id="_x0000_i1030" style="width:0;height:1.5pt" o:hralign="center" o:hrstd="t" o:hr="t" fillcolor="#a0a0a0" stroked="f"/>
        </w:pict>
      </w:r>
    </w:p>
    <w:p w14:paraId="334A271C"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6.2 Rundfunkalarm-Gutachten</w:t>
      </w:r>
    </w:p>
    <w:p w14:paraId="3ECB23A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Dieses Gutachten besitzt als einziges der vier Papiere einen größeren eigenen empirischen Datensatz.</w:t>
      </w:r>
    </w:p>
    <w:p w14:paraId="1224A122"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Es dokumentiert unter anderem 4.086 ursprüngliche Beschwerdevorgänge, über 118.000 Teilungen und mehrere Tausend Rundfunkratsinformationen. Zugleich heißt es ausdrücklich, dass keine abschließende Programmverfassungswidrigkeit bewiesen werden soll und eine systematische Antwortanalyse zur Endabsicherung noch erforderlich ist.</w:t>
      </w:r>
    </w:p>
    <w:p w14:paraId="22463D71"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Vorblatt ist erfreulich ehrlich: Es fordert selbst CSV-Rohdaten mit Hashwert, Exporterklärung, eidesstattliche Versicherung zur Datenherkunft und eine systematische Antwortanalyse.</w:t>
      </w:r>
    </w:p>
    <w:p w14:paraId="7BAFD257"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Verwendbar für</w:t>
      </w:r>
    </w:p>
    <w:p w14:paraId="23255FF3" w14:textId="77777777" w:rsidR="00B46075" w:rsidRPr="00B46075" w:rsidRDefault="00B46075" w:rsidP="00B46075">
      <w:pPr>
        <w:numPr>
          <w:ilvl w:val="0"/>
          <w:numId w:val="2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Nachweis, dass der Programmbeschwerdeweg in erheblichem Umfang genutzt wurde,</w:t>
      </w:r>
    </w:p>
    <w:p w14:paraId="6BDEA8FE" w14:textId="77777777" w:rsidR="00B46075" w:rsidRPr="00B46075" w:rsidRDefault="00B46075" w:rsidP="00B46075">
      <w:pPr>
        <w:numPr>
          <w:ilvl w:val="0"/>
          <w:numId w:val="2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Begründung eines Antrags auf amtliche Beschwerdestatistiken,</w:t>
      </w:r>
    </w:p>
    <w:p w14:paraId="58060F8F" w14:textId="77777777" w:rsidR="00B46075" w:rsidRPr="00B46075" w:rsidRDefault="00B46075" w:rsidP="00B46075">
      <w:pPr>
        <w:numPr>
          <w:ilvl w:val="0"/>
          <w:numId w:val="2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Begründung eines Antrags auf Beiziehung von Antworten, Beschlüssen und Abhilfemaßnahmen,</w:t>
      </w:r>
    </w:p>
    <w:p w14:paraId="7B8FC161" w14:textId="77777777" w:rsidR="00B46075" w:rsidRPr="00B46075" w:rsidRDefault="00B46075" w:rsidP="00B46075">
      <w:pPr>
        <w:numPr>
          <w:ilvl w:val="0"/>
          <w:numId w:val="2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Untersuchung der institutionellen Bearbeitung von Beschwerden.</w:t>
      </w:r>
    </w:p>
    <w:p w14:paraId="54FA9DAC"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Nicht verwendbar für</w:t>
      </w:r>
    </w:p>
    <w:p w14:paraId="2D7FBDDB" w14:textId="77777777" w:rsidR="00B46075" w:rsidRPr="00B46075" w:rsidRDefault="00B46075" w:rsidP="00B46075">
      <w:pPr>
        <w:numPr>
          <w:ilvl w:val="0"/>
          <w:numId w:val="2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Nachweis, dass jede Beschwerde berechtigt war,</w:t>
      </w:r>
    </w:p>
    <w:p w14:paraId="18A34364" w14:textId="77777777" w:rsidR="00B46075" w:rsidRPr="00B46075" w:rsidRDefault="00B46075" w:rsidP="00B46075">
      <w:pPr>
        <w:numPr>
          <w:ilvl w:val="0"/>
          <w:numId w:val="2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Nachweis eines materiellen Programmverstoßes,</w:t>
      </w:r>
    </w:p>
    <w:p w14:paraId="4A5D1C15" w14:textId="77777777" w:rsidR="00B46075" w:rsidRPr="00B46075" w:rsidRDefault="00B46075" w:rsidP="00B46075">
      <w:pPr>
        <w:numPr>
          <w:ilvl w:val="0"/>
          <w:numId w:val="2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Nachweis, dass intern keinerlei Reaktion erfolgte,</w:t>
      </w:r>
    </w:p>
    <w:p w14:paraId="710B39C7" w14:textId="77777777" w:rsidR="00B46075" w:rsidRPr="00B46075" w:rsidRDefault="00B46075" w:rsidP="00B46075">
      <w:pPr>
        <w:numPr>
          <w:ilvl w:val="0"/>
          <w:numId w:val="2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Nachweis, dass der Beschwerdeweg insgesamt rechtlich unwirksam ist.</w:t>
      </w:r>
    </w:p>
    <w:p w14:paraId="56B47390"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Kategorien „Propaganda“, „Hetze“, „Einseitigkeit“ oder „Demokratiefeindlichkeit“ sind zunächst Vorwürfe von Nutzern, keine wissenschaftlich validierten Feststellungen.</w:t>
      </w:r>
    </w:p>
    <w:p w14:paraId="63C24748"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Hinzu kommt: Das Bundesverwaltungsgericht hat bereits klargestellt, dass ein Kläger nicht einfach auf Programmbeschwerde oder Gremienkontrolle verwiesen werden darf. (</w:t>
      </w:r>
      <w:hyperlink r:id="rId23" w:tooltip="BVerwG 6 C 5.24, Urteil vom 15. Oktober 2025 | Bundesverwaltungsgericht" w:history="1">
        <w:r w:rsidRPr="00B46075">
          <w:rPr>
            <w:rFonts w:ascii="Times New Roman" w:eastAsia="Times New Roman" w:hAnsi="Times New Roman" w:cs="Times New Roman"/>
            <w:color w:val="0000FF"/>
            <w:kern w:val="0"/>
            <w:u w:val="single"/>
            <w:lang w:eastAsia="de-DE"/>
            <w14:ligatures w14:val="none"/>
          </w:rPr>
          <w:t>Bundesverwaltungsgericht</w:t>
        </w:r>
      </w:hyperlink>
      <w:r w:rsidRPr="00B46075">
        <w:rPr>
          <w:rFonts w:ascii="Times New Roman" w:eastAsia="Times New Roman" w:hAnsi="Times New Roman" w:cs="Times New Roman"/>
          <w:kern w:val="0"/>
          <w:lang w:eastAsia="de-DE"/>
          <w14:ligatures w14:val="none"/>
        </w:rPr>
        <w:t>)</w:t>
      </w:r>
    </w:p>
    <w:p w14:paraId="2F358B8B"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 xml:space="preserve">Damit ist das Rundfunkalarm-Gutachten für die grundsätzliche Eröffnung des Gerichtswegs weniger entscheidend geworden. Sein Hauptwert liegt künftig in der empirischen Untersuchung der </w:t>
      </w:r>
      <w:r w:rsidRPr="00B46075">
        <w:rPr>
          <w:rFonts w:ascii="Times New Roman" w:eastAsia="Times New Roman" w:hAnsi="Times New Roman" w:cs="Times New Roman"/>
          <w:b/>
          <w:bCs/>
          <w:kern w:val="0"/>
          <w:lang w:eastAsia="de-DE"/>
          <w14:ligatures w14:val="none"/>
        </w:rPr>
        <w:t>tatsächlichen Bearbeitung und Wirkung</w:t>
      </w:r>
      <w:r w:rsidRPr="00B46075">
        <w:rPr>
          <w:rFonts w:ascii="Times New Roman" w:eastAsia="Times New Roman" w:hAnsi="Times New Roman" w:cs="Times New Roman"/>
          <w:kern w:val="0"/>
          <w:lang w:eastAsia="de-DE"/>
          <w14:ligatures w14:val="none"/>
        </w:rPr>
        <w:t xml:space="preserve"> von Beschwerden.</w:t>
      </w:r>
    </w:p>
    <w:p w14:paraId="34372D09"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Vor Gericht sollte es nur zusammen mit folgenden Anlagen verwendet werden:</w:t>
      </w:r>
    </w:p>
    <w:p w14:paraId="43C78E6E" w14:textId="77777777" w:rsidR="00B46075" w:rsidRPr="00B46075" w:rsidRDefault="00B46075" w:rsidP="00B46075">
      <w:pPr>
        <w:numPr>
          <w:ilvl w:val="0"/>
          <w:numId w:val="2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unveränderter Rohdatensatz,</w:t>
      </w:r>
    </w:p>
    <w:p w14:paraId="59AFFBD5" w14:textId="77777777" w:rsidR="00B46075" w:rsidRPr="00B46075" w:rsidRDefault="00B46075" w:rsidP="00B46075">
      <w:pPr>
        <w:numPr>
          <w:ilvl w:val="0"/>
          <w:numId w:val="2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Hashwert,</w:t>
      </w:r>
    </w:p>
    <w:p w14:paraId="4F5D0D78" w14:textId="77777777" w:rsidR="00B46075" w:rsidRPr="00B46075" w:rsidRDefault="00B46075" w:rsidP="00B46075">
      <w:pPr>
        <w:numPr>
          <w:ilvl w:val="0"/>
          <w:numId w:val="2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Datenwörterbuch,</w:t>
      </w:r>
    </w:p>
    <w:p w14:paraId="3FDA8E6F" w14:textId="77777777" w:rsidR="00B46075" w:rsidRPr="00B46075" w:rsidRDefault="00B46075" w:rsidP="00B46075">
      <w:pPr>
        <w:numPr>
          <w:ilvl w:val="0"/>
          <w:numId w:val="2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Beschreibung der Datenerfassung,</w:t>
      </w:r>
    </w:p>
    <w:p w14:paraId="3E9709FF" w14:textId="77777777" w:rsidR="00B46075" w:rsidRPr="00B46075" w:rsidRDefault="00B46075" w:rsidP="00B46075">
      <w:pPr>
        <w:numPr>
          <w:ilvl w:val="0"/>
          <w:numId w:val="2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Dublettenlogik,</w:t>
      </w:r>
    </w:p>
    <w:p w14:paraId="43675507" w14:textId="77777777" w:rsidR="00B46075" w:rsidRPr="00B46075" w:rsidRDefault="00B46075" w:rsidP="00B46075">
      <w:pPr>
        <w:numPr>
          <w:ilvl w:val="0"/>
          <w:numId w:val="2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Trennung von Ursprungsvorgängen und Teilungen,</w:t>
      </w:r>
    </w:p>
    <w:p w14:paraId="6E35BBC4" w14:textId="77777777" w:rsidR="00B46075" w:rsidRPr="00B46075" w:rsidRDefault="00B46075" w:rsidP="00B46075">
      <w:pPr>
        <w:numPr>
          <w:ilvl w:val="0"/>
          <w:numId w:val="2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vollständige Missing-Data-Analyse,</w:t>
      </w:r>
    </w:p>
    <w:p w14:paraId="1E714052" w14:textId="77777777" w:rsidR="00B46075" w:rsidRPr="00B46075" w:rsidRDefault="00B46075" w:rsidP="00B46075">
      <w:pPr>
        <w:numPr>
          <w:ilvl w:val="0"/>
          <w:numId w:val="2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dokumentierte Zuordnung von Antworten,</w:t>
      </w:r>
    </w:p>
    <w:p w14:paraId="79BD55D7" w14:textId="77777777" w:rsidR="00B46075" w:rsidRPr="00B46075" w:rsidRDefault="00B46075" w:rsidP="00B46075">
      <w:pPr>
        <w:numPr>
          <w:ilvl w:val="0"/>
          <w:numId w:val="28"/>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unabhängige methodische Prüfung.</w:t>
      </w:r>
    </w:p>
    <w:p w14:paraId="6F9300F4"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3EB10F19">
          <v:rect id="_x0000_i1029" style="width:0;height:1.5pt" o:hralign="center" o:hrstd="t" o:hr="t" fillcolor="#a0a0a0" stroked="f"/>
        </w:pict>
      </w:r>
    </w:p>
    <w:p w14:paraId="75988766"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lastRenderedPageBreak/>
        <w:t>6.3 Kurz-Gutachten</w:t>
      </w:r>
    </w:p>
    <w:p w14:paraId="778F5082"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Kurz-Gutachten ist von den vier Papieren am ehesten für einen gerichtlichen Schriftsatz geeignet.</w:t>
      </w:r>
    </w:p>
    <w:p w14:paraId="50108030"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Seine stärkste These lautet:</w:t>
      </w:r>
    </w:p>
    <w:p w14:paraId="2412A01C"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Der gesetzliche Prüfungsmaßstab bestimmt den entscheidungserheblichen Lebenssachverhalt; wenn das materielle Recht auf das Gesamtprogramm abstellt, muss sich auch die Sachverhaltsaufklärung auf den Gesamtzusammenhang beziehen.</w:t>
      </w:r>
    </w:p>
    <w:p w14:paraId="79951082"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Diese Argumentation ist klarer und juristisch disziplinierter als die breit angelegte Theorie des V-Gutachtens.</w:t>
      </w:r>
    </w:p>
    <w:p w14:paraId="66A75039"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Problematisch ist wiederum die BGH-Übertragung. Das Kurz-Gutachten behauptet, die Entscheidung VI ZR 335/24 bestätige einen allgemeinen prozessrechtlichen Gedanken, wonach bei struktureller Informationsasymmetrie weitergehende Mitwirkungs- und Darlegungspflichten entstehen können.</w:t>
      </w:r>
    </w:p>
    <w:p w14:paraId="3BBD846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So kann man argumentieren, aber man muss offen dazuschreiben:</w:t>
      </w:r>
    </w:p>
    <w:p w14:paraId="708E551D" w14:textId="77777777" w:rsidR="00B46075" w:rsidRPr="00B46075" w:rsidRDefault="00B46075" w:rsidP="00B46075">
      <w:pPr>
        <w:numPr>
          <w:ilvl w:val="0"/>
          <w:numId w:val="2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Der BGH-Fall beruhte auf § 84a AMG.</w:t>
      </w:r>
    </w:p>
    <w:p w14:paraId="1F641B9E" w14:textId="77777777" w:rsidR="00B46075" w:rsidRPr="00B46075" w:rsidRDefault="00B46075" w:rsidP="00B46075">
      <w:pPr>
        <w:numPr>
          <w:ilvl w:val="0"/>
          <w:numId w:val="2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Es bestand dort bereits eine gesetzliche Auskunftsnorm.</w:t>
      </w:r>
    </w:p>
    <w:p w14:paraId="5E844D65" w14:textId="77777777" w:rsidR="00B46075" w:rsidRPr="00B46075" w:rsidRDefault="00B46075" w:rsidP="00B46075">
      <w:pPr>
        <w:numPr>
          <w:ilvl w:val="0"/>
          <w:numId w:val="2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Entscheidung begründet nicht selbst die rundfunkrechtliche Anspruchsgrundlage.</w:t>
      </w:r>
    </w:p>
    <w:p w14:paraId="149A0318" w14:textId="77777777" w:rsidR="00B46075" w:rsidRPr="00B46075" w:rsidRDefault="00B46075" w:rsidP="00B46075">
      <w:pPr>
        <w:numPr>
          <w:ilvl w:val="0"/>
          <w:numId w:val="29"/>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Übertragung ist eine Analogie, keine gefestigte Rechtsprechung.</w:t>
      </w:r>
    </w:p>
    <w:p w14:paraId="73757CAB"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Ich würde das Papier umbenennen in:</w:t>
      </w:r>
    </w:p>
    <w:p w14:paraId="7D3C9ADD"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„Rechtswissenschaftliche Stellungnahme zur gerichtlichen Sachverhaltsaufklärung bei programmbasierten Einwendungen“</w:t>
      </w:r>
    </w:p>
    <w:p w14:paraId="190DFBF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ist ehrlicher und wirkt vor Gericht seriöser als die Bezeichnung „Gutachten“, wenn es aus demselben Projektumfeld wie die übrigen Unterlagen stammt.</w:t>
      </w:r>
    </w:p>
    <w:p w14:paraId="4887C098"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274A0C74">
          <v:rect id="_x0000_i1028" style="width:0;height:1.5pt" o:hralign="center" o:hrstd="t" o:hr="t" fillcolor="#a0a0a0" stroked="f"/>
        </w:pict>
      </w:r>
    </w:p>
    <w:p w14:paraId="1AF451DA"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6.4 Wissenschaftliche Grundlagenuntersuchung</w:t>
      </w:r>
    </w:p>
    <w:p w14:paraId="29F4C860"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Grundlagenuntersuchung ist intellektuell ambitioniert. Sie entwickelt Begriffe wie:</w:t>
      </w:r>
    </w:p>
    <w:p w14:paraId="2EB7DCD9" w14:textId="77777777" w:rsidR="00B46075" w:rsidRPr="00B46075" w:rsidRDefault="00B46075" w:rsidP="00B46075">
      <w:pPr>
        <w:numPr>
          <w:ilvl w:val="0"/>
          <w:numId w:val="30"/>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institutioneller Lebenssachverhalt,</w:t>
      </w:r>
    </w:p>
    <w:p w14:paraId="5EA03FBB" w14:textId="77777777" w:rsidR="00B46075" w:rsidRPr="00B46075" w:rsidRDefault="00B46075" w:rsidP="00B46075">
      <w:pPr>
        <w:numPr>
          <w:ilvl w:val="0"/>
          <w:numId w:val="30"/>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digitale Erkenntnisordnung,</w:t>
      </w:r>
    </w:p>
    <w:p w14:paraId="44B9CD0A" w14:textId="77777777" w:rsidR="00B46075" w:rsidRPr="00B46075" w:rsidRDefault="00B46075" w:rsidP="00B46075">
      <w:pPr>
        <w:numPr>
          <w:ilvl w:val="0"/>
          <w:numId w:val="30"/>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Erkenntnisherrschaft,</w:t>
      </w:r>
    </w:p>
    <w:p w14:paraId="26FBC5E3" w14:textId="77777777" w:rsidR="00B46075" w:rsidRPr="00B46075" w:rsidRDefault="00B46075" w:rsidP="00B46075">
      <w:pPr>
        <w:numPr>
          <w:ilvl w:val="0"/>
          <w:numId w:val="30"/>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funktionale Kohärenz,</w:t>
      </w:r>
    </w:p>
    <w:p w14:paraId="23E3535C" w14:textId="77777777" w:rsidR="00B46075" w:rsidRPr="00B46075" w:rsidRDefault="00B46075" w:rsidP="00B46075">
      <w:pPr>
        <w:numPr>
          <w:ilvl w:val="0"/>
          <w:numId w:val="30"/>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wissenschaftliche Vollanalyse.</w:t>
      </w:r>
    </w:p>
    <w:p w14:paraId="6301A53F"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Als Monographie oder rechtswissenschaftlicher Diskussionsbeitrag kann das interessant sein. Als Anlage zu 50 Klagen ist sie ungeeignet.</w:t>
      </w:r>
    </w:p>
    <w:p w14:paraId="512D3DE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Besonders wichtig sind ihre eigenen Begrenzungen:</w:t>
      </w:r>
    </w:p>
    <w:p w14:paraId="4FAC7C7E" w14:textId="77777777" w:rsidR="00B46075" w:rsidRPr="00B46075" w:rsidRDefault="00B46075" w:rsidP="00B46075">
      <w:pPr>
        <w:numPr>
          <w:ilvl w:val="0"/>
          <w:numId w:val="31"/>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Tatsächliche Erkenntnisherrschaft begründet für sich allein noch keine rechtliche Offenlegungspflicht.</w:t>
      </w:r>
    </w:p>
    <w:p w14:paraId="2730C2BE" w14:textId="77777777" w:rsidR="00B46075" w:rsidRPr="00B46075" w:rsidRDefault="00B46075" w:rsidP="00B46075">
      <w:pPr>
        <w:numPr>
          <w:ilvl w:val="0"/>
          <w:numId w:val="31"/>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Aus der Informationsasymmetrie folgt keine umfassende prozessuale Offenlegung sämtlicher interner Daten.</w:t>
      </w:r>
    </w:p>
    <w:p w14:paraId="14ABCC1E" w14:textId="77777777" w:rsidR="00B46075" w:rsidRPr="00B46075" w:rsidRDefault="00B46075" w:rsidP="00B46075">
      <w:pPr>
        <w:numPr>
          <w:ilvl w:val="0"/>
          <w:numId w:val="31"/>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Untersuchung entwickelt keine neue Rechtsposition; die rechtlichen Folgen richten sich nach dem geltenden materiellen und prozessualen Recht.</w:t>
      </w:r>
    </w:p>
    <w:p w14:paraId="1DC24D41" w14:textId="77777777" w:rsidR="00B46075" w:rsidRPr="00B46075" w:rsidRDefault="00B46075" w:rsidP="00B46075">
      <w:pPr>
        <w:numPr>
          <w:ilvl w:val="0"/>
          <w:numId w:val="31"/>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Eine wissenschaftliche Vollanalyse schafft keine eigenständige Prozessregel und verändert weder Darlegungs- noch Beweislast.</w:t>
      </w:r>
    </w:p>
    <w:p w14:paraId="421A6C7D"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Diese Aussagen sind richtig. Sie stehen aber teilweise in Spannung zu den sehr weitgehenden Forderungen des Klageentwurfs.</w:t>
      </w:r>
    </w:p>
    <w:p w14:paraId="0AC0C1E4"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 weiterer wichtiger Punkt: Die Grundlagenuntersuchung räumt selbst ein, dass eine repräsentative Stichprobe grundsätzlich geeignet sein kann, wenn ihre Aussagekraft für den konkreten Untersuchungsgegenstand methodisch begründet wird.</w:t>
      </w:r>
    </w:p>
    <w:p w14:paraId="1FDB1070"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ist strategisch wertvoll. Ihr müsst nicht zwingend auf einer vollständigen Auswertung jeder Sendeminute aller Programme bestehen. Ein wissenschaftlich begründetes, geschichtetes Stichprobendesign könnte realistischer, verhältnismäßiger und gerichtsfester sein.</w:t>
      </w:r>
    </w:p>
    <w:p w14:paraId="32124C8A" w14:textId="77777777" w:rsidR="00B46075" w:rsidRPr="00B46075" w:rsidRDefault="00B46075" w:rsidP="00B46075">
      <w:pPr>
        <w:spacing w:before="100" w:beforeAutospacing="1" w:after="100" w:afterAutospacing="1"/>
        <w:outlineLvl w:val="2"/>
        <w:rPr>
          <w:rFonts w:ascii="Times New Roman" w:eastAsia="Times New Roman" w:hAnsi="Times New Roman" w:cs="Times New Roman"/>
          <w:b/>
          <w:bCs/>
          <w:kern w:val="0"/>
          <w:sz w:val="27"/>
          <w:szCs w:val="27"/>
          <w:lang w:eastAsia="de-DE"/>
          <w14:ligatures w14:val="none"/>
        </w:rPr>
      </w:pPr>
      <w:r w:rsidRPr="00B46075">
        <w:rPr>
          <w:rFonts w:ascii="Times New Roman" w:eastAsia="Times New Roman" w:hAnsi="Times New Roman" w:cs="Times New Roman"/>
          <w:b/>
          <w:bCs/>
          <w:kern w:val="0"/>
          <w:sz w:val="27"/>
          <w:szCs w:val="27"/>
          <w:lang w:eastAsia="de-DE"/>
          <w14:ligatures w14:val="none"/>
        </w:rPr>
        <w:t>Empfehlung</w:t>
      </w:r>
    </w:p>
    <w:p w14:paraId="030F1849" w14:textId="77777777" w:rsidR="00B46075" w:rsidRPr="00B46075" w:rsidRDefault="00B46075" w:rsidP="00B46075">
      <w:pPr>
        <w:numPr>
          <w:ilvl w:val="0"/>
          <w:numId w:val="3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nicht jedem Gericht vollständig vorlegen,</w:t>
      </w:r>
    </w:p>
    <w:p w14:paraId="75236D4D" w14:textId="77777777" w:rsidR="00B46075" w:rsidRPr="00B46075" w:rsidRDefault="00B46075" w:rsidP="00B46075">
      <w:pPr>
        <w:numPr>
          <w:ilvl w:val="0"/>
          <w:numId w:val="3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separat veröffentlichen,</w:t>
      </w:r>
    </w:p>
    <w:p w14:paraId="6B25196F" w14:textId="77777777" w:rsidR="00B46075" w:rsidRPr="00B46075" w:rsidRDefault="00B46075" w:rsidP="00B46075">
      <w:pPr>
        <w:numPr>
          <w:ilvl w:val="0"/>
          <w:numId w:val="3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unabhängiges Peer-Review einholen,</w:t>
      </w:r>
    </w:p>
    <w:p w14:paraId="094DAED7" w14:textId="77777777" w:rsidR="00B46075" w:rsidRPr="00B46075" w:rsidRDefault="00B46075" w:rsidP="00B46075">
      <w:pPr>
        <w:numPr>
          <w:ilvl w:val="0"/>
          <w:numId w:val="3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Fachliteratur und Gegenpositionen ausbauen,</w:t>
      </w:r>
    </w:p>
    <w:p w14:paraId="043916CC" w14:textId="77777777" w:rsidR="00B46075" w:rsidRPr="00B46075" w:rsidRDefault="00B46075" w:rsidP="00B46075">
      <w:pPr>
        <w:numPr>
          <w:ilvl w:val="0"/>
          <w:numId w:val="3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in Klagen nur fünf bis zehn zentrale Thesen mit genauen Seitenverweisen verwenden,</w:t>
      </w:r>
    </w:p>
    <w:p w14:paraId="1D2C356D" w14:textId="77777777" w:rsidR="00B46075" w:rsidRPr="00B46075" w:rsidRDefault="00B46075" w:rsidP="00B46075">
      <w:pPr>
        <w:numPr>
          <w:ilvl w:val="0"/>
          <w:numId w:val="32"/>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deutlich als eigener wissenschaftlicher Ansatz kennzeichnen.</w:t>
      </w:r>
    </w:p>
    <w:p w14:paraId="440A5B9B"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Untersuchung sagt am Ende selbst, dass ihr Ordnungsrahmen weder Vollständigkeit noch Endgültigkeit beansprucht und seine Tragfähigkeit erst durch wissenschaftliche Diskussion und gerichtliche Praxis geprüft werden muss.</w:t>
      </w:r>
    </w:p>
    <w:p w14:paraId="5C692E4F"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Genau so sollte sie auch präsentiert werden.</w:t>
      </w:r>
    </w:p>
    <w:p w14:paraId="4A228735"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6AD89D32">
          <v:rect id="_x0000_i1027" style="width:0;height:1.5pt" o:hralign="center" o:hrstd="t" o:hr="t" fillcolor="#a0a0a0" stroked="f"/>
        </w:pict>
      </w:r>
    </w:p>
    <w:p w14:paraId="29A9D56C" w14:textId="77777777" w:rsidR="00B46075" w:rsidRPr="00B46075" w:rsidRDefault="00B46075" w:rsidP="00B46075">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B46075">
        <w:rPr>
          <w:rFonts w:ascii="Times New Roman" w:eastAsia="Times New Roman" w:hAnsi="Times New Roman" w:cs="Times New Roman"/>
          <w:b/>
          <w:bCs/>
          <w:kern w:val="36"/>
          <w:sz w:val="48"/>
          <w:szCs w:val="48"/>
          <w:lang w:eastAsia="de-DE"/>
          <w14:ligatures w14:val="none"/>
        </w:rPr>
        <w:t>7. Reichen die vier Gutachten gemeinsam für eine neue Programmrüge?</w:t>
      </w:r>
    </w:p>
    <w:p w14:paraId="736D498D"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Nein.</w:t>
      </w:r>
    </w:p>
    <w:p w14:paraId="42ABA4B4"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Keines der vier Gutachten untersucht empirisch das aus Hörfunk, Fernsehen und Telemedien bestehende Gesamtangebot aller öffentlich-rechtlichen Veranstalter über mindestens zwei Jahre und vergleicht dieses methodisch mit dem Referenzzustand von 2018.</w:t>
      </w:r>
    </w:p>
    <w:p w14:paraId="4DDA583E" w14:textId="77777777" w:rsidR="00B46075" w:rsidRPr="00B46075" w:rsidRDefault="00B46075" w:rsidP="00B46075">
      <w:pPr>
        <w:numPr>
          <w:ilvl w:val="0"/>
          <w:numId w:val="3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V-Gutachten beschreibt Prüfbarkeit und Datenprobleme.</w:t>
      </w:r>
    </w:p>
    <w:p w14:paraId="4C782DF8" w14:textId="77777777" w:rsidR="00B46075" w:rsidRPr="00B46075" w:rsidRDefault="00B46075" w:rsidP="00B46075">
      <w:pPr>
        <w:numPr>
          <w:ilvl w:val="0"/>
          <w:numId w:val="3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Rundfunkalarm-Gutachten untersucht Beschwerden.</w:t>
      </w:r>
    </w:p>
    <w:p w14:paraId="39886F11" w14:textId="77777777" w:rsidR="00B46075" w:rsidRPr="00B46075" w:rsidRDefault="00B46075" w:rsidP="00B46075">
      <w:pPr>
        <w:numPr>
          <w:ilvl w:val="0"/>
          <w:numId w:val="3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Das Kurz-Gutachten behandelt Prozessrecht.</w:t>
      </w:r>
    </w:p>
    <w:p w14:paraId="4219AF33" w14:textId="77777777" w:rsidR="00B46075" w:rsidRPr="00B46075" w:rsidRDefault="00B46075" w:rsidP="00B46075">
      <w:pPr>
        <w:numPr>
          <w:ilvl w:val="0"/>
          <w:numId w:val="33"/>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Grundlagenuntersuchung entwickelt eine theoretische Erkenntnisordnung.</w:t>
      </w:r>
    </w:p>
    <w:p w14:paraId="6E631110"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Damit können die Papiere:</w:t>
      </w:r>
    </w:p>
    <w:p w14:paraId="69929556" w14:textId="77777777" w:rsidR="00B46075" w:rsidRPr="00B46075" w:rsidRDefault="00B46075" w:rsidP="00B46075">
      <w:pPr>
        <w:numPr>
          <w:ilvl w:val="0"/>
          <w:numId w:val="3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 Forschungsprojekt vorbereiten,</w:t>
      </w:r>
    </w:p>
    <w:p w14:paraId="3777EE1E" w14:textId="77777777" w:rsidR="00B46075" w:rsidRPr="00B46075" w:rsidRDefault="00B46075" w:rsidP="00B46075">
      <w:pPr>
        <w:numPr>
          <w:ilvl w:val="0"/>
          <w:numId w:val="3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einen begrenzten Datenzugang begründen,</w:t>
      </w:r>
    </w:p>
    <w:p w14:paraId="0EF6C1A1" w14:textId="77777777" w:rsidR="00B46075" w:rsidRPr="00B46075" w:rsidRDefault="00B46075" w:rsidP="00B46075">
      <w:pPr>
        <w:numPr>
          <w:ilvl w:val="0"/>
          <w:numId w:val="3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konkrete Beweisanregungen stützen,</w:t>
      </w:r>
    </w:p>
    <w:p w14:paraId="2B6EF0F7" w14:textId="77777777" w:rsidR="00B46075" w:rsidRPr="00B46075" w:rsidRDefault="00B46075" w:rsidP="00B46075">
      <w:pPr>
        <w:numPr>
          <w:ilvl w:val="0"/>
          <w:numId w:val="3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Informationsasymmetrien beschreiben,</w:t>
      </w:r>
    </w:p>
    <w:p w14:paraId="5A1F0567" w14:textId="77777777" w:rsidR="00B46075" w:rsidRPr="00B46075" w:rsidRDefault="00B46075" w:rsidP="00B46075">
      <w:pPr>
        <w:numPr>
          <w:ilvl w:val="0"/>
          <w:numId w:val="34"/>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und die Ernsthaftigkeit des Vorhabens belegen.</w:t>
      </w:r>
    </w:p>
    <w:p w14:paraId="731F19C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Sie sind aber nicht das vom Bundesverwaltungsgericht regelmäßig verlangte wissenschaftliche Gutachten über mögliche evidente und regelmäßige Defizite des Gesamtangebots.</w:t>
      </w:r>
    </w:p>
    <w:p w14:paraId="0B2DE86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muss offen ausgesprochen werden. Alles andere würde ein Gericht schnell erkennen.</w:t>
      </w:r>
    </w:p>
    <w:p w14:paraId="7B3A6959"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6F578D99">
          <v:rect id="_x0000_i1026" style="width:0;height:1.5pt" o:hralign="center" o:hrstd="t" o:hr="t" fillcolor="#a0a0a0" stroked="f"/>
        </w:pict>
      </w:r>
    </w:p>
    <w:p w14:paraId="0AE86DAD" w14:textId="77777777" w:rsidR="00B46075" w:rsidRPr="00B46075" w:rsidRDefault="00B46075" w:rsidP="00B46075">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B46075">
        <w:rPr>
          <w:rFonts w:ascii="Times New Roman" w:eastAsia="Times New Roman" w:hAnsi="Times New Roman" w:cs="Times New Roman"/>
          <w:b/>
          <w:bCs/>
          <w:kern w:val="36"/>
          <w:sz w:val="48"/>
          <w:szCs w:val="48"/>
          <w:lang w:eastAsia="de-DE"/>
          <w14:ligatures w14:val="none"/>
        </w:rPr>
        <w:t>8. Kosten und Risiko einer sofortigen 50er-Offensive</w:t>
      </w:r>
    </w:p>
    <w:p w14:paraId="11C4405F"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Die im Strategiepapier angenommene Größenordnung von etwa 511,50 Euro Gerichtskosten je Verfahren bei einem Streitwert von 5.000 Euro ist als Ausgangsrechnung nachvollziehbar. Der gesetzliche Auffangstreitwert beträgt 5.000 Euro, wenn keine besseren Anhaltspunkte bestehen. (</w:t>
      </w:r>
      <w:hyperlink r:id="rId24" w:tooltip="https://www.gesetze-im-internet.de/gkg_2004/__52.html" w:history="1">
        <w:r w:rsidRPr="00B46075">
          <w:rPr>
            <w:rFonts w:ascii="Times New Roman" w:eastAsia="Times New Roman" w:hAnsi="Times New Roman" w:cs="Times New Roman"/>
            <w:color w:val="0000FF"/>
            <w:kern w:val="0"/>
            <w:u w:val="single"/>
            <w:lang w:eastAsia="de-DE"/>
            <w14:ligatures w14:val="none"/>
          </w:rPr>
          <w:t>Gesetze im Internet</w:t>
        </w:r>
      </w:hyperlink>
      <w:r w:rsidRPr="00B46075">
        <w:rPr>
          <w:rFonts w:ascii="Times New Roman" w:eastAsia="Times New Roman" w:hAnsi="Times New Roman" w:cs="Times New Roman"/>
          <w:kern w:val="0"/>
          <w:lang w:eastAsia="de-DE"/>
          <w14:ligatures w14:val="none"/>
        </w:rPr>
        <w:t>)</w:t>
      </w:r>
    </w:p>
    <w:p w14:paraId="30E62AAB"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Aber rund 25.575 Euro wären nur das Basisszenario für die Gerichtskosten erster Instanz.</w:t>
      </w:r>
    </w:p>
    <w:p w14:paraId="08FFB7C5"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Nicht enthalten sind:</w:t>
      </w:r>
    </w:p>
    <w:p w14:paraId="5539A548" w14:textId="77777777" w:rsidR="00B46075" w:rsidRPr="00B46075" w:rsidRDefault="00B46075" w:rsidP="00B46075">
      <w:pPr>
        <w:numPr>
          <w:ilvl w:val="0"/>
          <w:numId w:val="3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anwaltliche Gebühren,</w:t>
      </w:r>
    </w:p>
    <w:p w14:paraId="1F869526" w14:textId="77777777" w:rsidR="00B46075" w:rsidRPr="00B46075" w:rsidRDefault="00B46075" w:rsidP="00B46075">
      <w:pPr>
        <w:numPr>
          <w:ilvl w:val="0"/>
          <w:numId w:val="3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Kosten der Gegenseite,</w:t>
      </w:r>
    </w:p>
    <w:p w14:paraId="09148C0E" w14:textId="77777777" w:rsidR="00B46075" w:rsidRPr="00B46075" w:rsidRDefault="00B46075" w:rsidP="00B46075">
      <w:pPr>
        <w:numPr>
          <w:ilvl w:val="0"/>
          <w:numId w:val="3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Berufungszulassungsverfahren,</w:t>
      </w:r>
    </w:p>
    <w:p w14:paraId="744D9FDE" w14:textId="77777777" w:rsidR="00B46075" w:rsidRPr="00B46075" w:rsidRDefault="00B46075" w:rsidP="00B46075">
      <w:pPr>
        <w:numPr>
          <w:ilvl w:val="0"/>
          <w:numId w:val="3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Berufung und Revision,</w:t>
      </w:r>
    </w:p>
    <w:p w14:paraId="60FAFCFC" w14:textId="77777777" w:rsidR="00B46075" w:rsidRPr="00B46075" w:rsidRDefault="00B46075" w:rsidP="00B46075">
      <w:pPr>
        <w:numPr>
          <w:ilvl w:val="0"/>
          <w:numId w:val="3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wissenschaftliche Gutachter,</w:t>
      </w:r>
    </w:p>
    <w:p w14:paraId="17C83A9F" w14:textId="77777777" w:rsidR="00B46075" w:rsidRPr="00B46075" w:rsidRDefault="00B46075" w:rsidP="00B46075">
      <w:pPr>
        <w:numPr>
          <w:ilvl w:val="0"/>
          <w:numId w:val="3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technische Datenaufbereitung,</w:t>
      </w:r>
    </w:p>
    <w:p w14:paraId="777DAEE4" w14:textId="77777777" w:rsidR="00B46075" w:rsidRPr="00B46075" w:rsidRDefault="00B46075" w:rsidP="00B46075">
      <w:pPr>
        <w:numPr>
          <w:ilvl w:val="0"/>
          <w:numId w:val="3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mögliche Streitwerterhöhungen bei mehreren eigenständigen Anträgen,</w:t>
      </w:r>
    </w:p>
    <w:p w14:paraId="2BAB4575" w14:textId="77777777" w:rsidR="00B46075" w:rsidRPr="00B46075" w:rsidRDefault="00B46075" w:rsidP="00B46075">
      <w:pPr>
        <w:numPr>
          <w:ilvl w:val="0"/>
          <w:numId w:val="35"/>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Reisekosten und zentrale Prozesssteuerung.</w:t>
      </w:r>
    </w:p>
    <w:p w14:paraId="6494713E"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Das größere Risiko ist jedoch nicht finanziell, sondern rechtlich:</w:t>
      </w:r>
    </w:p>
    <w:p w14:paraId="2DC94C43"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50 nahezu identische ablehnende Urteile könnten innerhalb weniger Monate eine flächendeckende Gegenrechtsprechung erzeugen.</w:t>
      </w:r>
    </w:p>
    <w:p w14:paraId="1E7F8008"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Euer eigenes Strategiedokument erkennt diese Gefahr ausdrücklich.</w:t>
      </w:r>
    </w:p>
    <w:p w14:paraId="1C5F76A5"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Deshalb braucht ihr vor der Skalierung klare Abbruch- und Freigabepunkte:</w:t>
      </w:r>
    </w:p>
    <w:p w14:paraId="15575336" w14:textId="77777777" w:rsidR="00B46075" w:rsidRPr="00B46075" w:rsidRDefault="00B46075" w:rsidP="00B46075">
      <w:pPr>
        <w:numPr>
          <w:ilvl w:val="0"/>
          <w:numId w:val="3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Kein zweites Verfahren, bevor die erste Zulässigkeitsreaktion ausgewertet ist.</w:t>
      </w:r>
    </w:p>
    <w:p w14:paraId="52200C18" w14:textId="77777777" w:rsidR="00B46075" w:rsidRPr="00B46075" w:rsidRDefault="00B46075" w:rsidP="00B46075">
      <w:pPr>
        <w:numPr>
          <w:ilvl w:val="0"/>
          <w:numId w:val="3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Keine Serienklage, bevor eine Anspruchsgrundlage bestätigt wurde.</w:t>
      </w:r>
    </w:p>
    <w:p w14:paraId="327CC784" w14:textId="77777777" w:rsidR="00B46075" w:rsidRPr="00B46075" w:rsidRDefault="00B46075" w:rsidP="00B46075">
      <w:pPr>
        <w:numPr>
          <w:ilvl w:val="0"/>
          <w:numId w:val="3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Kein Rechtsmittel ohne zentrale Chancenbewertung.</w:t>
      </w:r>
    </w:p>
    <w:p w14:paraId="77FEE1C6" w14:textId="77777777" w:rsidR="00B46075" w:rsidRPr="00B46075" w:rsidRDefault="00B46075" w:rsidP="00B46075">
      <w:pPr>
        <w:numPr>
          <w:ilvl w:val="0"/>
          <w:numId w:val="3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Keine identischen Klagen in ungünstigen Ländern.</w:t>
      </w:r>
    </w:p>
    <w:p w14:paraId="08286C6F" w14:textId="77777777" w:rsidR="00B46075" w:rsidRPr="00B46075" w:rsidRDefault="00B46075" w:rsidP="00B46075">
      <w:pPr>
        <w:numPr>
          <w:ilvl w:val="0"/>
          <w:numId w:val="36"/>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Keine 400 Seiten Anlagen ohne gerichtsspezifische Relevanz.</w:t>
      </w:r>
    </w:p>
    <w:p w14:paraId="11D48969" w14:textId="77777777" w:rsidR="00B46075" w:rsidRPr="00B46075" w:rsidRDefault="00E7561B" w:rsidP="00B46075">
      <w:pPr>
        <w:rPr>
          <w:rFonts w:ascii="Times New Roman" w:eastAsia="Times New Roman" w:hAnsi="Times New Roman" w:cs="Times New Roman"/>
          <w:kern w:val="0"/>
          <w:lang w:eastAsia="de-DE"/>
          <w14:ligatures w14:val="none"/>
        </w:rPr>
      </w:pPr>
      <w:r w:rsidRPr="00E7561B">
        <w:rPr>
          <w:rFonts w:ascii="Times New Roman" w:eastAsia="Times New Roman" w:hAnsi="Times New Roman" w:cs="Times New Roman"/>
          <w:noProof/>
          <w:kern w:val="0"/>
          <w:lang w:eastAsia="de-DE"/>
        </w:rPr>
        <w:pict w14:anchorId="1CDD04EA">
          <v:rect id="_x0000_i1025" style="width:0;height:1.5pt" o:hralign="center" o:hrstd="t" o:hr="t" fillcolor="#a0a0a0" stroked="f"/>
        </w:pict>
      </w:r>
    </w:p>
    <w:p w14:paraId="21A845A2" w14:textId="77777777" w:rsidR="00B46075" w:rsidRPr="00B46075" w:rsidRDefault="00B46075" w:rsidP="00B46075">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B46075">
        <w:rPr>
          <w:rFonts w:ascii="Times New Roman" w:eastAsia="Times New Roman" w:hAnsi="Times New Roman" w:cs="Times New Roman"/>
          <w:b/>
          <w:bCs/>
          <w:kern w:val="36"/>
          <w:sz w:val="48"/>
          <w:szCs w:val="48"/>
          <w:lang w:eastAsia="de-DE"/>
          <w14:ligatures w14:val="none"/>
        </w:rPr>
        <w:t>9. Mein abschließendes Urteil</w:t>
      </w:r>
    </w:p>
    <w:p w14:paraId="4F840C13"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Strategische Idee</w:t>
      </w:r>
    </w:p>
    <w:p w14:paraId="17D025E6"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Sehr gut.</w:t>
      </w:r>
      <w:r w:rsidRPr="00B46075">
        <w:rPr>
          <w:rFonts w:ascii="Times New Roman" w:eastAsia="Times New Roman" w:hAnsi="Times New Roman" w:cs="Times New Roman"/>
          <w:kern w:val="0"/>
          <w:lang w:eastAsia="de-DE"/>
          <w14:ligatures w14:val="none"/>
        </w:rPr>
        <w:t xml:space="preserve"> Die Informations- und Erkenntnisfrage ist wesentlich stärker als die bloße Wiederholung früherer Programmkritik.</w:t>
      </w:r>
    </w:p>
    <w:p w14:paraId="274A98BC"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Aktuelle Antragsunterlagen</w:t>
      </w:r>
    </w:p>
    <w:p w14:paraId="73D23644"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Gute Grundlage, aber zu breit und noch nicht anstalts- und landesspezifisch genug.</w:t>
      </w:r>
      <w:r w:rsidRPr="00B46075">
        <w:rPr>
          <w:rFonts w:ascii="Times New Roman" w:eastAsia="Times New Roman" w:hAnsi="Times New Roman" w:cs="Times New Roman"/>
          <w:kern w:val="0"/>
          <w:lang w:eastAsia="de-DE"/>
          <w14:ligatures w14:val="none"/>
        </w:rPr>
        <w:t xml:space="preserve"> Der Archiv-Antrag ist der stärkste Baustein.</w:t>
      </w:r>
    </w:p>
    <w:p w14:paraId="6278C3F7"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Aktueller Klageentwurf</w:t>
      </w:r>
    </w:p>
    <w:p w14:paraId="4E02BEE9"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Nicht einreichungsreif.</w:t>
      </w:r>
      <w:r w:rsidRPr="00B46075">
        <w:rPr>
          <w:rFonts w:ascii="Times New Roman" w:eastAsia="Times New Roman" w:hAnsi="Times New Roman" w:cs="Times New Roman"/>
          <w:kern w:val="0"/>
          <w:lang w:eastAsia="de-DE"/>
          <w14:ligatures w14:val="none"/>
        </w:rPr>
        <w:t xml:space="preserve"> Es fehlen konkrete Anspruchsgrundlage, eindeutiger Rechtsweg, hinreichend bestimmter Antrag und saubere Abgrenzung zwischen Forschungszugang, Informationsrecht und gerichtlicher Sachaufklärung.</w:t>
      </w:r>
    </w:p>
    <w:p w14:paraId="5A62C4DD"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HR-Erwiderung</w:t>
      </w:r>
    </w:p>
    <w:p w14:paraId="1A27326C"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Vollständig neu redigieren.</w:t>
      </w:r>
      <w:r w:rsidRPr="00B46075">
        <w:rPr>
          <w:rFonts w:ascii="Times New Roman" w:eastAsia="Times New Roman" w:hAnsi="Times New Roman" w:cs="Times New Roman"/>
          <w:kern w:val="0"/>
          <w:lang w:eastAsia="de-DE"/>
          <w14:ligatures w14:val="none"/>
        </w:rPr>
        <w:t xml:space="preserve"> Die Grundfrage ist wertvoll, aber der Entwurf enthält interne Werkstattkommentare, Wiederholungen und zu viele absolute Behauptungen.</w:t>
      </w:r>
    </w:p>
    <w:p w14:paraId="6CC60E6E"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Vier Gutachten</w:t>
      </w:r>
    </w:p>
    <w:p w14:paraId="052490D2"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Ja, weiter verwendbar – aber nur differenziert als qualifizierter Parteivortrag, methodische Vorarbeit und Hintergrund.</w:t>
      </w:r>
      <w:r w:rsidRPr="00B46075">
        <w:rPr>
          <w:rFonts w:ascii="Times New Roman" w:eastAsia="Times New Roman" w:hAnsi="Times New Roman" w:cs="Times New Roman"/>
          <w:kern w:val="0"/>
          <w:lang w:eastAsia="de-DE"/>
          <w14:ligatures w14:val="none"/>
        </w:rPr>
        <w:t xml:space="preserve"> Sie sind weder verbraucht noch unzulässig, aber auch kein Ersatz für das vom Bundesverwaltungsgericht angesprochene empirische Gesamtprogrammgutachten.</w:t>
      </w:r>
    </w:p>
    <w:p w14:paraId="66D46955" w14:textId="77777777" w:rsidR="00B46075" w:rsidRPr="00B46075" w:rsidRDefault="00B46075" w:rsidP="00B46075">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B46075">
        <w:rPr>
          <w:rFonts w:ascii="Times New Roman" w:eastAsia="Times New Roman" w:hAnsi="Times New Roman" w:cs="Times New Roman"/>
          <w:b/>
          <w:bCs/>
          <w:kern w:val="0"/>
          <w:sz w:val="36"/>
          <w:szCs w:val="36"/>
          <w:lang w:eastAsia="de-DE"/>
          <w14:ligatures w14:val="none"/>
        </w:rPr>
        <w:t>50 Verfahren</w:t>
      </w:r>
    </w:p>
    <w:p w14:paraId="7DD9BFB0"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Nicht jetzt.</w:t>
      </w:r>
      <w:r w:rsidRPr="00B46075">
        <w:rPr>
          <w:rFonts w:ascii="Times New Roman" w:eastAsia="Times New Roman" w:hAnsi="Times New Roman" w:cs="Times New Roman"/>
          <w:kern w:val="0"/>
          <w:lang w:eastAsia="de-DE"/>
          <w14:ligatures w14:val="none"/>
        </w:rPr>
        <w:t xml:space="preserve"> Zunächst:</w:t>
      </w:r>
    </w:p>
    <w:p w14:paraId="259BACAA" w14:textId="77777777" w:rsidR="00B46075" w:rsidRPr="00B46075" w:rsidRDefault="00B46075" w:rsidP="00B46075">
      <w:pPr>
        <w:numPr>
          <w:ilvl w:val="0"/>
          <w:numId w:val="3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vollständige Auswertung der 50 rechtskräftigen Entscheidungen,</w:t>
      </w:r>
    </w:p>
    <w:p w14:paraId="603BB49F" w14:textId="77777777" w:rsidR="00B46075" w:rsidRPr="00B46075" w:rsidRDefault="00B46075" w:rsidP="00B46075">
      <w:pPr>
        <w:numPr>
          <w:ilvl w:val="0"/>
          <w:numId w:val="3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echte wissenschaftliche Trägerschaft,</w:t>
      </w:r>
    </w:p>
    <w:p w14:paraId="6D8D20CF" w14:textId="77777777" w:rsidR="00B46075" w:rsidRPr="00B46075" w:rsidRDefault="00B46075" w:rsidP="00B46075">
      <w:pPr>
        <w:numPr>
          <w:ilvl w:val="0"/>
          <w:numId w:val="3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anstalts- und landesspezifische Anspruchsmatrix,</w:t>
      </w:r>
    </w:p>
    <w:p w14:paraId="5A30985D" w14:textId="77777777" w:rsidR="00B46075" w:rsidRPr="00B46075" w:rsidRDefault="00B46075" w:rsidP="00B46075">
      <w:pPr>
        <w:numPr>
          <w:ilvl w:val="0"/>
          <w:numId w:val="3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gestufte und erheblich engere Datenanträge,</w:t>
      </w:r>
    </w:p>
    <w:p w14:paraId="155208AC" w14:textId="77777777" w:rsidR="00B46075" w:rsidRPr="00B46075" w:rsidRDefault="00B46075" w:rsidP="00B46075">
      <w:pPr>
        <w:numPr>
          <w:ilvl w:val="0"/>
          <w:numId w:val="3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ein bis drei ausgesuchte Musterverfahren,</w:t>
      </w:r>
    </w:p>
    <w:p w14:paraId="07235CA5" w14:textId="77777777" w:rsidR="00B46075" w:rsidRPr="00B46075" w:rsidRDefault="00B46075" w:rsidP="00B46075">
      <w:pPr>
        <w:numPr>
          <w:ilvl w:val="0"/>
          <w:numId w:val="37"/>
        </w:num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lastRenderedPageBreak/>
        <w:t>erst danach kontrollierte Skalierung.</w:t>
      </w:r>
    </w:p>
    <w:p w14:paraId="72A5D538"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Der entscheidende Satz lautet daher:</w:t>
      </w:r>
    </w:p>
    <w:p w14:paraId="5EF1B6C9"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b/>
          <w:bCs/>
          <w:kern w:val="0"/>
          <w:lang w:eastAsia="de-DE"/>
          <w14:ligatures w14:val="none"/>
        </w:rPr>
        <w:t>Nutzt die 50 Beitragsstopper nicht zuerst als 50 Kläger, sondern als 50-fachen Erfahrungsschatz.</w:t>
      </w:r>
    </w:p>
    <w:p w14:paraId="79FE1701" w14:textId="77777777" w:rsidR="00B46075" w:rsidRPr="00B46075" w:rsidRDefault="00B46075" w:rsidP="00B46075">
      <w:pPr>
        <w:spacing w:before="100" w:beforeAutospacing="1" w:after="100" w:afterAutospacing="1"/>
        <w:rPr>
          <w:rFonts w:ascii="Times New Roman" w:eastAsia="Times New Roman" w:hAnsi="Times New Roman" w:cs="Times New Roman"/>
          <w:kern w:val="0"/>
          <w:lang w:eastAsia="de-DE"/>
          <w14:ligatures w14:val="none"/>
        </w:rPr>
      </w:pPr>
      <w:r w:rsidRPr="00B46075">
        <w:rPr>
          <w:rFonts w:ascii="Times New Roman" w:eastAsia="Times New Roman" w:hAnsi="Times New Roman" w:cs="Times New Roman"/>
          <w:kern w:val="0"/>
          <w:lang w:eastAsia="de-DE"/>
          <w14:ligatures w14:val="none"/>
        </w:rPr>
        <w:t>Der nächste zwingende Schritt ist die vollständige Matrix der 50 Urteile und Beschlüsse einschließlich der jeweiligen gerichtlichen Behandlung aller vier Gutachten. Erst daraus lässt sich belastbar bestimmen, welcher Kläger, welche Anstalt, welche Anspruchsgrundlage und welcher neue Streitgegenstand das stärkste Musterverfahren ergeben.</w:t>
      </w:r>
    </w:p>
    <w:p w14:paraId="15AD881E" w14:textId="77777777" w:rsidR="00A43773" w:rsidRDefault="00A43773"/>
    <w:sectPr w:rsidR="00A43773" w:rsidSect="00F167F6">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C86B8F"/>
    <w:multiLevelType w:val="multilevel"/>
    <w:tmpl w:val="1A14C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AF3DB4"/>
    <w:multiLevelType w:val="multilevel"/>
    <w:tmpl w:val="BAE6B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D267A5"/>
    <w:multiLevelType w:val="multilevel"/>
    <w:tmpl w:val="DA7E9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31018"/>
    <w:multiLevelType w:val="multilevel"/>
    <w:tmpl w:val="2834D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73528"/>
    <w:multiLevelType w:val="multilevel"/>
    <w:tmpl w:val="F866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3E0A5D"/>
    <w:multiLevelType w:val="multilevel"/>
    <w:tmpl w:val="8A8EE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8D3CF7"/>
    <w:multiLevelType w:val="multilevel"/>
    <w:tmpl w:val="1D56C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AD5B6E"/>
    <w:multiLevelType w:val="multilevel"/>
    <w:tmpl w:val="CE96D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981373"/>
    <w:multiLevelType w:val="multilevel"/>
    <w:tmpl w:val="AA6A1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294805"/>
    <w:multiLevelType w:val="multilevel"/>
    <w:tmpl w:val="5FB4D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CA38B3"/>
    <w:multiLevelType w:val="multilevel"/>
    <w:tmpl w:val="F684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0251AB"/>
    <w:multiLevelType w:val="multilevel"/>
    <w:tmpl w:val="A4361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3176EB"/>
    <w:multiLevelType w:val="multilevel"/>
    <w:tmpl w:val="EA6CC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4C0BC4"/>
    <w:multiLevelType w:val="multilevel"/>
    <w:tmpl w:val="29EA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EE0EFC"/>
    <w:multiLevelType w:val="multilevel"/>
    <w:tmpl w:val="064E4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3D5305"/>
    <w:multiLevelType w:val="multilevel"/>
    <w:tmpl w:val="703C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3D3696"/>
    <w:multiLevelType w:val="multilevel"/>
    <w:tmpl w:val="AE1A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E12264"/>
    <w:multiLevelType w:val="multilevel"/>
    <w:tmpl w:val="08E48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8C5AB1"/>
    <w:multiLevelType w:val="multilevel"/>
    <w:tmpl w:val="DF4E6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0A315C"/>
    <w:multiLevelType w:val="multilevel"/>
    <w:tmpl w:val="820A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AA6CFC"/>
    <w:multiLevelType w:val="multilevel"/>
    <w:tmpl w:val="869E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B04E72"/>
    <w:multiLevelType w:val="multilevel"/>
    <w:tmpl w:val="5602F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1A6E27"/>
    <w:multiLevelType w:val="multilevel"/>
    <w:tmpl w:val="1B0E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045271"/>
    <w:multiLevelType w:val="multilevel"/>
    <w:tmpl w:val="04266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5E68A8"/>
    <w:multiLevelType w:val="multilevel"/>
    <w:tmpl w:val="7CB25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CA302F"/>
    <w:multiLevelType w:val="multilevel"/>
    <w:tmpl w:val="61A2E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A96D16"/>
    <w:multiLevelType w:val="multilevel"/>
    <w:tmpl w:val="62F48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AB5C21"/>
    <w:multiLevelType w:val="multilevel"/>
    <w:tmpl w:val="34A03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2C97A3C"/>
    <w:multiLevelType w:val="multilevel"/>
    <w:tmpl w:val="4B820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757C12"/>
    <w:multiLevelType w:val="multilevel"/>
    <w:tmpl w:val="2A58D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564E7B"/>
    <w:multiLevelType w:val="multilevel"/>
    <w:tmpl w:val="F4FAC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0520E7"/>
    <w:multiLevelType w:val="multilevel"/>
    <w:tmpl w:val="FD86B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D1075C"/>
    <w:multiLevelType w:val="multilevel"/>
    <w:tmpl w:val="E5B87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1E087C"/>
    <w:multiLevelType w:val="multilevel"/>
    <w:tmpl w:val="603EC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0066D0"/>
    <w:multiLevelType w:val="multilevel"/>
    <w:tmpl w:val="0D34E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D030C0"/>
    <w:multiLevelType w:val="multilevel"/>
    <w:tmpl w:val="004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C002D5"/>
    <w:multiLevelType w:val="multilevel"/>
    <w:tmpl w:val="A4806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3301394">
    <w:abstractNumId w:val="0"/>
  </w:num>
  <w:num w:numId="2" w16cid:durableId="85078046">
    <w:abstractNumId w:val="6"/>
  </w:num>
  <w:num w:numId="3" w16cid:durableId="859467922">
    <w:abstractNumId w:val="10"/>
  </w:num>
  <w:num w:numId="4" w16cid:durableId="1787430984">
    <w:abstractNumId w:val="25"/>
  </w:num>
  <w:num w:numId="5" w16cid:durableId="402487181">
    <w:abstractNumId w:val="31"/>
  </w:num>
  <w:num w:numId="6" w16cid:durableId="842402941">
    <w:abstractNumId w:val="23"/>
  </w:num>
  <w:num w:numId="7" w16cid:durableId="200434399">
    <w:abstractNumId w:val="22"/>
  </w:num>
  <w:num w:numId="8" w16cid:durableId="149757108">
    <w:abstractNumId w:val="12"/>
  </w:num>
  <w:num w:numId="9" w16cid:durableId="885719121">
    <w:abstractNumId w:val="29"/>
  </w:num>
  <w:num w:numId="10" w16cid:durableId="773743712">
    <w:abstractNumId w:val="24"/>
  </w:num>
  <w:num w:numId="11" w16cid:durableId="1225917346">
    <w:abstractNumId w:val="4"/>
  </w:num>
  <w:num w:numId="12" w16cid:durableId="1533574591">
    <w:abstractNumId w:val="5"/>
  </w:num>
  <w:num w:numId="13" w16cid:durableId="2076852103">
    <w:abstractNumId w:val="21"/>
  </w:num>
  <w:num w:numId="14" w16cid:durableId="2051955509">
    <w:abstractNumId w:val="34"/>
  </w:num>
  <w:num w:numId="15" w16cid:durableId="117914070">
    <w:abstractNumId w:val="19"/>
  </w:num>
  <w:num w:numId="16" w16cid:durableId="261955999">
    <w:abstractNumId w:val="1"/>
  </w:num>
  <w:num w:numId="17" w16cid:durableId="1854343817">
    <w:abstractNumId w:val="35"/>
  </w:num>
  <w:num w:numId="18" w16cid:durableId="1086809226">
    <w:abstractNumId w:val="28"/>
  </w:num>
  <w:num w:numId="19" w16cid:durableId="900095359">
    <w:abstractNumId w:val="16"/>
  </w:num>
  <w:num w:numId="20" w16cid:durableId="324747704">
    <w:abstractNumId w:val="7"/>
  </w:num>
  <w:num w:numId="21" w16cid:durableId="1571188437">
    <w:abstractNumId w:val="27"/>
  </w:num>
  <w:num w:numId="22" w16cid:durableId="430592783">
    <w:abstractNumId w:val="11"/>
  </w:num>
  <w:num w:numId="23" w16cid:durableId="1009718414">
    <w:abstractNumId w:val="2"/>
  </w:num>
  <w:num w:numId="24" w16cid:durableId="267659358">
    <w:abstractNumId w:val="20"/>
  </w:num>
  <w:num w:numId="25" w16cid:durableId="1105033582">
    <w:abstractNumId w:val="15"/>
  </w:num>
  <w:num w:numId="26" w16cid:durableId="906111310">
    <w:abstractNumId w:val="17"/>
  </w:num>
  <w:num w:numId="27" w16cid:durableId="647317778">
    <w:abstractNumId w:val="26"/>
  </w:num>
  <w:num w:numId="28" w16cid:durableId="55401893">
    <w:abstractNumId w:val="32"/>
  </w:num>
  <w:num w:numId="29" w16cid:durableId="338772533">
    <w:abstractNumId w:val="13"/>
  </w:num>
  <w:num w:numId="30" w16cid:durableId="1147363164">
    <w:abstractNumId w:val="8"/>
  </w:num>
  <w:num w:numId="31" w16cid:durableId="1232036249">
    <w:abstractNumId w:val="3"/>
  </w:num>
  <w:num w:numId="32" w16cid:durableId="2037071250">
    <w:abstractNumId w:val="30"/>
  </w:num>
  <w:num w:numId="33" w16cid:durableId="673993362">
    <w:abstractNumId w:val="14"/>
  </w:num>
  <w:num w:numId="34" w16cid:durableId="1274433510">
    <w:abstractNumId w:val="36"/>
  </w:num>
  <w:num w:numId="35" w16cid:durableId="2142728087">
    <w:abstractNumId w:val="33"/>
  </w:num>
  <w:num w:numId="36" w16cid:durableId="1650403976">
    <w:abstractNumId w:val="9"/>
  </w:num>
  <w:num w:numId="37" w16cid:durableId="690643365">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075"/>
    <w:rsid w:val="00017A87"/>
    <w:rsid w:val="001F5050"/>
    <w:rsid w:val="00331A61"/>
    <w:rsid w:val="003646BB"/>
    <w:rsid w:val="00383614"/>
    <w:rsid w:val="003C17E5"/>
    <w:rsid w:val="003F40FE"/>
    <w:rsid w:val="00731D20"/>
    <w:rsid w:val="007A720F"/>
    <w:rsid w:val="007A7DCB"/>
    <w:rsid w:val="00813DAF"/>
    <w:rsid w:val="008D5A46"/>
    <w:rsid w:val="009652BE"/>
    <w:rsid w:val="009F355A"/>
    <w:rsid w:val="00A11C70"/>
    <w:rsid w:val="00A43773"/>
    <w:rsid w:val="00B46075"/>
    <w:rsid w:val="00D0662A"/>
    <w:rsid w:val="00D91EEA"/>
    <w:rsid w:val="00E7561B"/>
    <w:rsid w:val="00EB6A89"/>
    <w:rsid w:val="00F167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73015"/>
  <w15:chartTrackingRefBased/>
  <w15:docId w15:val="{F6731AAE-EDA9-BD4F-876C-051CF5521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460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B460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B46075"/>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B46075"/>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B46075"/>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B46075"/>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46075"/>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46075"/>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46075"/>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46075"/>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B46075"/>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B46075"/>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B46075"/>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B46075"/>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B4607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4607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4607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46075"/>
    <w:rPr>
      <w:rFonts w:eastAsiaTheme="majorEastAsia" w:cstheme="majorBidi"/>
      <w:color w:val="272727" w:themeColor="text1" w:themeTint="D8"/>
    </w:rPr>
  </w:style>
  <w:style w:type="paragraph" w:styleId="Titel">
    <w:name w:val="Title"/>
    <w:basedOn w:val="Standard"/>
    <w:next w:val="Standard"/>
    <w:link w:val="TitelZchn"/>
    <w:uiPriority w:val="10"/>
    <w:qFormat/>
    <w:rsid w:val="00B4607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4607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46075"/>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4607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46075"/>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B46075"/>
    <w:rPr>
      <w:i/>
      <w:iCs/>
      <w:color w:val="404040" w:themeColor="text1" w:themeTint="BF"/>
    </w:rPr>
  </w:style>
  <w:style w:type="paragraph" w:styleId="Listenabsatz">
    <w:name w:val="List Paragraph"/>
    <w:basedOn w:val="Standard"/>
    <w:uiPriority w:val="34"/>
    <w:qFormat/>
    <w:rsid w:val="00B46075"/>
    <w:pPr>
      <w:ind w:left="720"/>
      <w:contextualSpacing/>
    </w:pPr>
  </w:style>
  <w:style w:type="character" w:styleId="IntensiveHervorhebung">
    <w:name w:val="Intense Emphasis"/>
    <w:basedOn w:val="Absatz-Standardschriftart"/>
    <w:uiPriority w:val="21"/>
    <w:qFormat/>
    <w:rsid w:val="00B46075"/>
    <w:rPr>
      <w:i/>
      <w:iCs/>
      <w:color w:val="2F5496" w:themeColor="accent1" w:themeShade="BF"/>
    </w:rPr>
  </w:style>
  <w:style w:type="paragraph" w:styleId="IntensivesZitat">
    <w:name w:val="Intense Quote"/>
    <w:basedOn w:val="Standard"/>
    <w:next w:val="Standard"/>
    <w:link w:val="IntensivesZitatZchn"/>
    <w:uiPriority w:val="30"/>
    <w:qFormat/>
    <w:rsid w:val="00B460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B46075"/>
    <w:rPr>
      <w:i/>
      <w:iCs/>
      <w:color w:val="2F5496" w:themeColor="accent1" w:themeShade="BF"/>
    </w:rPr>
  </w:style>
  <w:style w:type="character" w:styleId="IntensiverVerweis">
    <w:name w:val="Intense Reference"/>
    <w:basedOn w:val="Absatz-Standardschriftart"/>
    <w:uiPriority w:val="32"/>
    <w:qFormat/>
    <w:rsid w:val="00B46075"/>
    <w:rPr>
      <w:b/>
      <w:bCs/>
      <w:smallCaps/>
      <w:color w:val="2F5496" w:themeColor="accent1" w:themeShade="BF"/>
      <w:spacing w:val="5"/>
    </w:rPr>
  </w:style>
  <w:style w:type="paragraph" w:styleId="StandardWeb">
    <w:name w:val="Normal (Web)"/>
    <w:basedOn w:val="Standard"/>
    <w:uiPriority w:val="99"/>
    <w:semiHidden/>
    <w:unhideWhenUsed/>
    <w:rsid w:val="00B46075"/>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B46075"/>
    <w:rPr>
      <w:b/>
      <w:bCs/>
    </w:rPr>
  </w:style>
  <w:style w:type="character" w:styleId="Hyperlink">
    <w:name w:val="Hyperlink"/>
    <w:basedOn w:val="Absatz-Standardschriftart"/>
    <w:uiPriority w:val="99"/>
    <w:semiHidden/>
    <w:unhideWhenUsed/>
    <w:rsid w:val="00B460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a.de/fileadmin/www.dra.de/downloads/Benutzungsordnung_DRA_mit_Anlage_Datenschutz.pdf" TargetMode="External"/><Relationship Id="rId13" Type="http://schemas.openxmlformats.org/officeDocument/2006/relationships/hyperlink" Target="https://www.bverwg.de/151025U6C5.24.0?utm_source=chatgpt.com" TargetMode="External"/><Relationship Id="rId18" Type="http://schemas.openxmlformats.org/officeDocument/2006/relationships/hyperlink" Target="https://recht.nrw.de/lrgv/gesetz/01042026-gesetz-ueber-den-westdeutschen-rundfunk-koeln/"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gesetze-im-internet.de/vwgo/__75.html" TargetMode="External"/><Relationship Id="rId7" Type="http://schemas.openxmlformats.org/officeDocument/2006/relationships/hyperlink" Target="https://recht.nrw.de/lrgv/gesetz/01042026-gesetz-ueber-den-westdeutschen-rundfunk-koeln/" TargetMode="External"/><Relationship Id="rId12" Type="http://schemas.openxmlformats.org/officeDocument/2006/relationships/hyperlink" Target="https://www.bverwg.de/151025U6C5.24.0" TargetMode="External"/><Relationship Id="rId17" Type="http://schemas.openxmlformats.org/officeDocument/2006/relationships/hyperlink" Target="https://www.dra.de/fileadmin/www.dra.de/downloads/unser-service-fuer-sie/Regelungen_zum_Archivzugang.pd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gesetze-im-internet.de/vwgo/__121.html" TargetMode="External"/><Relationship Id="rId20" Type="http://schemas.openxmlformats.org/officeDocument/2006/relationships/hyperlink" Target="https://www.ard.de/die-ard/presse-kontakt/archive/archivzugang-fuer-wissenschaft-und-forschung-100.html" TargetMode="External"/><Relationship Id="rId1" Type="http://schemas.openxmlformats.org/officeDocument/2006/relationships/numbering" Target="numbering.xml"/><Relationship Id="rId6" Type="http://schemas.openxmlformats.org/officeDocument/2006/relationships/hyperlink" Target="https://www.gesetze-im-internet.de/vwgo/__43.html" TargetMode="External"/><Relationship Id="rId11" Type="http://schemas.openxmlformats.org/officeDocument/2006/relationships/hyperlink" Target="https://www.bverwg.de/151025U6C5.24.0" TargetMode="External"/><Relationship Id="rId24" Type="http://schemas.openxmlformats.org/officeDocument/2006/relationships/hyperlink" Target="https://www.gesetze-im-internet.de/gkg_2004/__52.html" TargetMode="External"/><Relationship Id="rId5" Type="http://schemas.openxmlformats.org/officeDocument/2006/relationships/hyperlink" Target="https://www.gesetze-im-internet.de/vwgo/__42.html" TargetMode="External"/><Relationship Id="rId15" Type="http://schemas.openxmlformats.org/officeDocument/2006/relationships/hyperlink" Target="https://juris.bundesgerichtshof.de/cgi-bin/bgh_notp/document.py?Art=en&amp;Datum=2000-1&amp;Gericht=bgh&amp;Sort=1&amp;anz=105&amp;nr=3252&amp;pos=4" TargetMode="External"/><Relationship Id="rId23" Type="http://schemas.openxmlformats.org/officeDocument/2006/relationships/hyperlink" Target="https://www.bverwg.de/151025U6C5.24.0?utm_source=chatgpt.com" TargetMode="External"/><Relationship Id="rId10" Type="http://schemas.openxmlformats.org/officeDocument/2006/relationships/hyperlink" Target="https://www.bverwg.de/151025U6C5.24.0" TargetMode="External"/><Relationship Id="rId19" Type="http://schemas.openxmlformats.org/officeDocument/2006/relationships/hyperlink" Target="https://www.gesetze-im-internet.de/vwgo/__86.html" TargetMode="External"/><Relationship Id="rId4" Type="http://schemas.openxmlformats.org/officeDocument/2006/relationships/webSettings" Target="webSettings.xml"/><Relationship Id="rId9" Type="http://schemas.openxmlformats.org/officeDocument/2006/relationships/hyperlink" Target="https://www.bverwg.de/151025U6C5.24.0?utm_source=chatgpt.com" TargetMode="External"/><Relationship Id="rId14" Type="http://schemas.openxmlformats.org/officeDocument/2006/relationships/hyperlink" Target="https://www.ard.de/die-ard/presse-kontakt/archive/archivzugang-fuer-wissenschaft-und-forschung-100.html" TargetMode="External"/><Relationship Id="rId22" Type="http://schemas.openxmlformats.org/officeDocument/2006/relationships/hyperlink" Target="https://www.bundesgerichtshof.de/SharedDocs/Entscheidungen/DE/Zivilsenate/VI_ZS/2024/VI_ZR_335-24.pdf?__blob=publicationFile&amp;v=5"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6275</Words>
  <Characters>39537</Characters>
  <Application>Microsoft Office Word</Application>
  <DocSecurity>0</DocSecurity>
  <Lines>329</Lines>
  <Paragraphs>91</Paragraphs>
  <ScaleCrop>false</ScaleCrop>
  <Company/>
  <LinksUpToDate>false</LinksUpToDate>
  <CharactersWithSpaces>45721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Bönig, Carlotta (Abi28A)</dc:creator>
  <cp:keywords/>
  <dc:description/>
  <cp:lastModifiedBy>Bönig, Carlotta (Abi28A)</cp:lastModifiedBy>
  <cp:revision>1</cp:revision>
  <dcterms:created xsi:type="dcterms:W3CDTF">2026-08-08T20:31:00Z</dcterms:created>
  <dcterms:modified xsi:type="dcterms:W3CDTF">2026-08-08T20:31:00Z</dcterms:modified>
</cp:coreProperties>
</file>