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9C81CD"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 xml:space="preserve">Ja. Jetzt ist der Punkt erreicht, an dem man </w:t>
      </w:r>
      <w:r w:rsidRPr="00FE7460">
        <w:rPr>
          <w:rFonts w:ascii="Times New Roman" w:eastAsia="Times New Roman" w:hAnsi="Times New Roman" w:cs="Times New Roman"/>
          <w:b/>
          <w:bCs/>
          <w:lang w:eastAsia="de-DE"/>
        </w:rPr>
        <w:t>nicht mehr nur im alten Beitragsverfahren argumentiert</w:t>
      </w:r>
      <w:r w:rsidRPr="00FE7460">
        <w:rPr>
          <w:rFonts w:ascii="Times New Roman" w:eastAsia="Times New Roman" w:hAnsi="Times New Roman" w:cs="Times New Roman"/>
          <w:lang w:eastAsia="de-DE"/>
        </w:rPr>
        <w:t>, sondern die Blockade selbst zum Streitgegenstand macht.</w:t>
      </w:r>
    </w:p>
    <w:p w14:paraId="282C9155"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Ich würde das nicht als reine Feststellungsklage aufbauen, sondern stärker:</w:t>
      </w:r>
    </w:p>
    <w:p w14:paraId="50D02718" w14:textId="77777777" w:rsidR="00FE7460" w:rsidRPr="00FE7460" w:rsidRDefault="00FE7460" w:rsidP="00FE7460">
      <w:pPr>
        <w:spacing w:before="100" w:beforeAutospacing="1" w:after="100" w:afterAutospacing="1"/>
        <w:outlineLvl w:val="1"/>
        <w:rPr>
          <w:rFonts w:ascii="Times New Roman" w:eastAsia="Times New Roman" w:hAnsi="Times New Roman" w:cs="Times New Roman"/>
          <w:b/>
          <w:bCs/>
          <w:sz w:val="36"/>
          <w:szCs w:val="36"/>
          <w:lang w:eastAsia="de-DE"/>
        </w:rPr>
      </w:pPr>
      <w:r w:rsidRPr="00FE7460">
        <w:rPr>
          <w:rFonts w:ascii="Times New Roman" w:eastAsia="Times New Roman" w:hAnsi="Times New Roman" w:cs="Times New Roman"/>
          <w:b/>
          <w:bCs/>
          <w:sz w:val="36"/>
          <w:szCs w:val="36"/>
          <w:lang w:eastAsia="de-DE"/>
        </w:rPr>
        <w:t>Klageart</w:t>
      </w:r>
    </w:p>
    <w:p w14:paraId="5C78ACEB"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b/>
          <w:bCs/>
          <w:lang w:eastAsia="de-DE"/>
        </w:rPr>
        <w:t>Hauptantrag: allgemeine Leistungsklage / Verpflichtung zur Datenbereitstellung</w:t>
      </w:r>
      <w:r w:rsidRPr="00FE7460">
        <w:rPr>
          <w:rFonts w:ascii="Times New Roman" w:eastAsia="Times New Roman" w:hAnsi="Times New Roman" w:cs="Times New Roman"/>
          <w:lang w:eastAsia="de-DE"/>
        </w:rPr>
        <w:br/>
      </w:r>
      <w:r w:rsidRPr="00FE7460">
        <w:rPr>
          <w:rFonts w:ascii="Times New Roman" w:eastAsia="Times New Roman" w:hAnsi="Times New Roman" w:cs="Times New Roman"/>
          <w:b/>
          <w:bCs/>
          <w:lang w:eastAsia="de-DE"/>
        </w:rPr>
        <w:t>Hilfsweise: Feststellungsklage</w:t>
      </w:r>
    </w:p>
    <w:p w14:paraId="1C8E8E1D"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 xml:space="preserve">Denn ihr wollt nicht nur festgestellt bekommen, dass das System absurd ist. Ihr wollt die Daten. Also: </w:t>
      </w:r>
      <w:r w:rsidRPr="00FE7460">
        <w:rPr>
          <w:rFonts w:ascii="Times New Roman" w:eastAsia="Times New Roman" w:hAnsi="Times New Roman" w:cs="Times New Roman"/>
          <w:b/>
          <w:bCs/>
          <w:lang w:eastAsia="de-DE"/>
        </w:rPr>
        <w:t>Daten herausgeben oder gerichtsfest erklären lassen, warum ohne Daten kein substantiierter Vortrag verlangt werden darf.</w:t>
      </w:r>
    </w:p>
    <w:p w14:paraId="23EEA0BD"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Hier ist ein ausformulierter Entwurf:</w:t>
      </w:r>
    </w:p>
    <w:p w14:paraId="149940F7" w14:textId="77777777" w:rsidR="00FE7460" w:rsidRPr="00FE7460" w:rsidRDefault="0017437C" w:rsidP="00FE7460">
      <w:pPr>
        <w:rPr>
          <w:rFonts w:ascii="Times New Roman" w:eastAsia="Times New Roman" w:hAnsi="Times New Roman" w:cs="Times New Roman"/>
          <w:lang w:eastAsia="de-DE"/>
        </w:rPr>
      </w:pPr>
      <w:r w:rsidRPr="00FE7460">
        <w:rPr>
          <w:rFonts w:ascii="Times New Roman" w:eastAsia="Times New Roman" w:hAnsi="Times New Roman" w:cs="Times New Roman"/>
          <w:noProof/>
          <w:lang w:eastAsia="de-DE"/>
        </w:rPr>
        <w:pict w14:anchorId="231F73C7">
          <v:rect id="_x0000_i1034" alt="" style="width:453.15pt;height:.05pt;mso-width-percent:0;mso-height-percent:0;mso-width-percent:0;mso-height-percent:0" o:hrpct="999" o:hralign="center" o:hrstd="t" o:hr="t" fillcolor="#a0a0a0" stroked="f"/>
        </w:pict>
      </w:r>
    </w:p>
    <w:p w14:paraId="565DF016" w14:textId="77777777" w:rsidR="00FE7460" w:rsidRPr="00FE7460" w:rsidRDefault="00FE7460" w:rsidP="00FE7460">
      <w:pPr>
        <w:spacing w:before="100" w:beforeAutospacing="1" w:after="100" w:afterAutospacing="1"/>
        <w:outlineLvl w:val="0"/>
        <w:rPr>
          <w:rFonts w:ascii="Times New Roman" w:eastAsia="Times New Roman" w:hAnsi="Times New Roman" w:cs="Times New Roman"/>
          <w:b/>
          <w:bCs/>
          <w:kern w:val="36"/>
          <w:sz w:val="48"/>
          <w:szCs w:val="48"/>
          <w:lang w:eastAsia="de-DE"/>
        </w:rPr>
      </w:pPr>
      <w:r w:rsidRPr="00FE7460">
        <w:rPr>
          <w:rFonts w:ascii="Times New Roman" w:eastAsia="Times New Roman" w:hAnsi="Times New Roman" w:cs="Times New Roman"/>
          <w:b/>
          <w:bCs/>
          <w:kern w:val="36"/>
          <w:sz w:val="48"/>
          <w:szCs w:val="48"/>
          <w:lang w:eastAsia="de-DE"/>
        </w:rPr>
        <w:t>Verwaltungsgericht __________</w:t>
      </w:r>
    </w:p>
    <w:p w14:paraId="6CD06A36"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b/>
          <w:bCs/>
          <w:lang w:eastAsia="de-DE"/>
        </w:rPr>
        <w:t>Klage</w:t>
      </w:r>
    </w:p>
    <w:p w14:paraId="12877AE1"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des Herrn / der Frau __________,</w:t>
      </w:r>
      <w:r w:rsidRPr="00FE7460">
        <w:rPr>
          <w:rFonts w:ascii="Times New Roman" w:eastAsia="Times New Roman" w:hAnsi="Times New Roman" w:cs="Times New Roman"/>
          <w:lang w:eastAsia="de-DE"/>
        </w:rPr>
        <w:br/>
        <w:t>Adresse __________,</w:t>
      </w:r>
      <w:r w:rsidRPr="00FE7460">
        <w:rPr>
          <w:rFonts w:ascii="Times New Roman" w:eastAsia="Times New Roman" w:hAnsi="Times New Roman" w:cs="Times New Roman"/>
          <w:lang w:eastAsia="de-DE"/>
        </w:rPr>
        <w:br/>
        <w:t>Kläger/in,</w:t>
      </w:r>
    </w:p>
    <w:p w14:paraId="7281B45F"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gegen</w:t>
      </w:r>
    </w:p>
    <w:p w14:paraId="74F187E9"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b/>
          <w:bCs/>
          <w:lang w:eastAsia="de-DE"/>
        </w:rPr>
        <w:t>[Landesrundfunkanstalt / ZDF / Deutschlandradio]</w:t>
      </w:r>
      <w:r w:rsidRPr="00FE7460">
        <w:rPr>
          <w:rFonts w:ascii="Times New Roman" w:eastAsia="Times New Roman" w:hAnsi="Times New Roman" w:cs="Times New Roman"/>
          <w:lang w:eastAsia="de-DE"/>
        </w:rPr>
        <w:t>,</w:t>
      </w:r>
      <w:r w:rsidRPr="00FE7460">
        <w:rPr>
          <w:rFonts w:ascii="Times New Roman" w:eastAsia="Times New Roman" w:hAnsi="Times New Roman" w:cs="Times New Roman"/>
          <w:lang w:eastAsia="de-DE"/>
        </w:rPr>
        <w:br/>
        <w:t>vertreten durch __________,</w:t>
      </w:r>
      <w:r w:rsidRPr="00FE7460">
        <w:rPr>
          <w:rFonts w:ascii="Times New Roman" w:eastAsia="Times New Roman" w:hAnsi="Times New Roman" w:cs="Times New Roman"/>
          <w:lang w:eastAsia="de-DE"/>
        </w:rPr>
        <w:br/>
        <w:t>Adresse __________,</w:t>
      </w:r>
      <w:r w:rsidRPr="00FE7460">
        <w:rPr>
          <w:rFonts w:ascii="Times New Roman" w:eastAsia="Times New Roman" w:hAnsi="Times New Roman" w:cs="Times New Roman"/>
          <w:lang w:eastAsia="de-DE"/>
        </w:rPr>
        <w:br/>
        <w:t>Beklagte/r,</w:t>
      </w:r>
    </w:p>
    <w:p w14:paraId="70F7E8F5"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wegen Herausgabe programmbezogener Daten, hilfsweise Feststellung der rechtsstaatlichen Unmöglichkeit substantiierter Programmrüge ohne Datenzugang</w:t>
      </w:r>
    </w:p>
    <w:p w14:paraId="71B0EDD2" w14:textId="77777777" w:rsidR="00FE7460" w:rsidRPr="00FE7460" w:rsidRDefault="0017437C" w:rsidP="00FE7460">
      <w:pPr>
        <w:rPr>
          <w:rFonts w:ascii="Times New Roman" w:eastAsia="Times New Roman" w:hAnsi="Times New Roman" w:cs="Times New Roman"/>
          <w:lang w:eastAsia="de-DE"/>
        </w:rPr>
      </w:pPr>
      <w:r w:rsidRPr="00FE7460">
        <w:rPr>
          <w:rFonts w:ascii="Times New Roman" w:eastAsia="Times New Roman" w:hAnsi="Times New Roman" w:cs="Times New Roman"/>
          <w:noProof/>
          <w:lang w:eastAsia="de-DE"/>
        </w:rPr>
        <w:pict w14:anchorId="5515493C">
          <v:rect id="_x0000_i1033" alt="" style="width:453.15pt;height:.05pt;mso-width-percent:0;mso-height-percent:0;mso-width-percent:0;mso-height-percent:0" o:hrpct="999" o:hralign="center" o:hrstd="t" o:hr="t" fillcolor="#a0a0a0" stroked="f"/>
        </w:pict>
      </w:r>
    </w:p>
    <w:p w14:paraId="2BA08401" w14:textId="77777777" w:rsidR="00FE7460" w:rsidRPr="00FE7460" w:rsidRDefault="00FE7460" w:rsidP="00FE7460">
      <w:pPr>
        <w:spacing w:before="100" w:beforeAutospacing="1" w:after="100" w:afterAutospacing="1"/>
        <w:outlineLvl w:val="1"/>
        <w:rPr>
          <w:rFonts w:ascii="Times New Roman" w:eastAsia="Times New Roman" w:hAnsi="Times New Roman" w:cs="Times New Roman"/>
          <w:b/>
          <w:bCs/>
          <w:sz w:val="36"/>
          <w:szCs w:val="36"/>
          <w:lang w:eastAsia="de-DE"/>
        </w:rPr>
      </w:pPr>
      <w:r w:rsidRPr="00FE7460">
        <w:rPr>
          <w:rFonts w:ascii="Times New Roman" w:eastAsia="Times New Roman" w:hAnsi="Times New Roman" w:cs="Times New Roman"/>
          <w:b/>
          <w:bCs/>
          <w:sz w:val="36"/>
          <w:szCs w:val="36"/>
          <w:lang w:eastAsia="de-DE"/>
        </w:rPr>
        <w:t>Anträge</w:t>
      </w:r>
    </w:p>
    <w:p w14:paraId="47F4F7CC"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Namens und im Auftrag des Klägers wird beantragt:</w:t>
      </w:r>
    </w:p>
    <w:p w14:paraId="1BD33A5B" w14:textId="77777777" w:rsidR="00FE7460" w:rsidRPr="00FE7460" w:rsidRDefault="00FE7460" w:rsidP="00FE7460">
      <w:pPr>
        <w:numPr>
          <w:ilvl w:val="0"/>
          <w:numId w:val="1"/>
        </w:num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Beklagte wird verpflichtet, dem Kläger zur Vorbereitung und Durchführung einer substantiierten Programmrüge gegen die Rundfunkbeitragspflicht für den Zeitraum vom __________ bis __________ diejenigen programmbezogenen Daten zugänglich zu machen, die erforderlich sind, um das vom Bundesverwaltungsgericht im Urteil vom 15.10.2025 – 6 C 5.24 – geforderte wissenschaftlich belastbare Vorbringen zu etwaigen evidenten und regelmäßigen Defiziten des öffentlich-rechtlichen Gesamtangebots hinsichtlich Vielfalt und Ausgewogenheit führen zu können.</w:t>
      </w:r>
    </w:p>
    <w:p w14:paraId="11728875" w14:textId="77777777" w:rsidR="00FE7460" w:rsidRPr="00FE7460" w:rsidRDefault="00FE7460" w:rsidP="00FE7460">
      <w:pPr>
        <w:numPr>
          <w:ilvl w:val="0"/>
          <w:numId w:val="1"/>
        </w:num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lastRenderedPageBreak/>
        <w:t>Die herauszugebenden bzw. zugänglich zu machenden Daten umfassen insbesondere:</w:t>
      </w:r>
    </w:p>
    <w:p w14:paraId="71E9AA59" w14:textId="77777777" w:rsidR="00FE7460" w:rsidRPr="00FE7460" w:rsidRDefault="00FE7460" w:rsidP="00FE7460">
      <w:pPr>
        <w:spacing w:before="100" w:beforeAutospacing="1" w:after="100" w:afterAutospacing="1"/>
        <w:ind w:left="720"/>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a) vollständige Programmlisten und Sendeprotokolle sämtlicher relevanter Fernseh-, Hörfunk-, Online- und Mediatheksangebote der Beklagten im genannten Zeitraum,</w:t>
      </w:r>
    </w:p>
    <w:p w14:paraId="2C38FADD" w14:textId="77777777" w:rsidR="00FE7460" w:rsidRPr="00FE7460" w:rsidRDefault="00FE7460" w:rsidP="00FE7460">
      <w:pPr>
        <w:spacing w:before="100" w:beforeAutospacing="1" w:after="100" w:afterAutospacing="1"/>
        <w:ind w:left="720"/>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b) vorhandene Transkripte, Untertitelungsdaten, Rohtranskripte oder sonstige maschinenlesbare Textfassungen der ausgestrahlten bzw. veröffentlichten Inhalte,</w:t>
      </w:r>
    </w:p>
    <w:p w14:paraId="20FCC4BB" w14:textId="77777777" w:rsidR="00FE7460" w:rsidRPr="00FE7460" w:rsidRDefault="00FE7460" w:rsidP="00FE7460">
      <w:pPr>
        <w:spacing w:before="100" w:beforeAutospacing="1" w:after="100" w:afterAutospacing="1"/>
        <w:ind w:left="720"/>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c) vorhandene Metadaten, Themenzuordnungen, Verschlagwortungen, Kategorien, Rubriken, Beitragslängen, Veröffentlichungszeitpunkte, Depublizierungszeitpunkte und Archivkennzeichnungen,</w:t>
      </w:r>
    </w:p>
    <w:p w14:paraId="1C14089C" w14:textId="77777777" w:rsidR="00FE7460" w:rsidRPr="00FE7460" w:rsidRDefault="00FE7460" w:rsidP="00FE7460">
      <w:pPr>
        <w:spacing w:before="100" w:beforeAutospacing="1" w:after="100" w:afterAutospacing="1"/>
        <w:ind w:left="720"/>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 vorhandene Daten zur Themengewichtung, Sprecherverteilung, Gästeauswahl, Expertenauswahl, Parteien- und Akteurspräsenz, soweit solche Daten intern erhoben, gespeichert oder ausgewertet werden,</w:t>
      </w:r>
    </w:p>
    <w:p w14:paraId="479B17DF" w14:textId="77777777" w:rsidR="00FE7460" w:rsidRPr="00FE7460" w:rsidRDefault="00FE7460" w:rsidP="00FE7460">
      <w:pPr>
        <w:spacing w:before="100" w:beforeAutospacing="1" w:after="100" w:afterAutospacing="1"/>
        <w:ind w:left="720"/>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e) interne Soll-Ist-Kontrollen, Evaluierungen, Monitoringberichte, Qualitätsberichte, Vielfaltsberichte, Gremienvorlagen oder sonstige Unterlagen, aus denen sich ergibt, anhand welcher Maßstäbe die Beklagte die Erfüllung ihres Vielfalt-, Ausgewogenheits- und Funktionsauftrags prüft,</w:t>
      </w:r>
    </w:p>
    <w:p w14:paraId="23EF9FA1" w14:textId="77777777" w:rsidR="00FE7460" w:rsidRPr="00FE7460" w:rsidRDefault="00FE7460" w:rsidP="00FE7460">
      <w:pPr>
        <w:spacing w:before="100" w:beforeAutospacing="1" w:after="100" w:afterAutospacing="1"/>
        <w:ind w:left="720"/>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f) Dokumentationen darüber, welche Inhalte im streitgegenständlichen Zeitraum aufgrund gesetzlicher Depublizierungspflichten aus öffentlich zugänglichen Mediatheken entfernt wurden.</w:t>
      </w:r>
    </w:p>
    <w:p w14:paraId="3ACBA041" w14:textId="77777777" w:rsidR="00FE7460" w:rsidRPr="00FE7460" w:rsidRDefault="00FE7460" w:rsidP="00FE7460">
      <w:pPr>
        <w:numPr>
          <w:ilvl w:val="0"/>
          <w:numId w:val="1"/>
        </w:num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Hilfsweise wird festgestellt, dass der Kläger ohne Zugang zu den vorgenannten programmbezogenen Daten, Metadaten, Transkripten, Archivstrukturen und internen Kontrollunterlagen tatsächlich und rechtlich nicht in der Lage ist, den vom Bundesverwaltungsgericht im Urteil vom 15.10.2025 – 6 C 5.24 – geforderten substantiierten Vortrag zu strukturellen Defiziten des öffentlich-rechtlichen Gesamtangebots in wissenschaftlich belastbarer Weise zu führen.</w:t>
      </w:r>
    </w:p>
    <w:p w14:paraId="30CFC35E" w14:textId="77777777" w:rsidR="00FE7460" w:rsidRPr="00FE7460" w:rsidRDefault="00FE7460" w:rsidP="00FE7460">
      <w:pPr>
        <w:numPr>
          <w:ilvl w:val="0"/>
          <w:numId w:val="1"/>
        </w:num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Weiter hilfsweise wird festgestellt, dass es mit Art. 19 Abs. 4 GG unvereinbar ist, von einem beitragspflichtigen Bürger eine wissenschaftlich belastbare Gesamtanalyse des öffentlich-rechtlichen Rundfunkangebots über einen mehrjährigen Zeitraum zu verlangen, wenn die hierfür erforderlichen Rohdaten, Transkripte, Metadaten, Archivstrukturen und internen Kontrollinformationen ausschließlich oder überwiegend im Herrschaftsbereich der Rundfunkanstalten liegen und von diesen nicht zugänglich gemacht werden.</w:t>
      </w:r>
    </w:p>
    <w:p w14:paraId="2D86BA40" w14:textId="77777777" w:rsidR="00FE7460" w:rsidRPr="00FE7460" w:rsidRDefault="00FE7460" w:rsidP="00FE7460">
      <w:pPr>
        <w:numPr>
          <w:ilvl w:val="0"/>
          <w:numId w:val="1"/>
        </w:num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Beklagte trägt die Kosten des Verfahrens.</w:t>
      </w:r>
    </w:p>
    <w:p w14:paraId="24A3FF92" w14:textId="77777777" w:rsidR="00FE7460" w:rsidRPr="00FE7460" w:rsidRDefault="0017437C" w:rsidP="00FE7460">
      <w:pPr>
        <w:rPr>
          <w:rFonts w:ascii="Times New Roman" w:eastAsia="Times New Roman" w:hAnsi="Times New Roman" w:cs="Times New Roman"/>
          <w:lang w:eastAsia="de-DE"/>
        </w:rPr>
      </w:pPr>
      <w:r w:rsidRPr="00FE7460">
        <w:rPr>
          <w:rFonts w:ascii="Times New Roman" w:eastAsia="Times New Roman" w:hAnsi="Times New Roman" w:cs="Times New Roman"/>
          <w:noProof/>
          <w:lang w:eastAsia="de-DE"/>
        </w:rPr>
        <w:pict w14:anchorId="008ABEE3">
          <v:rect id="_x0000_i1032" alt="" style="width:453.15pt;height:.05pt;mso-width-percent:0;mso-height-percent:0;mso-width-percent:0;mso-height-percent:0" o:hrpct="999" o:hralign="center" o:hrstd="t" o:hr="t" fillcolor="#a0a0a0" stroked="f"/>
        </w:pict>
      </w:r>
    </w:p>
    <w:p w14:paraId="4290411B" w14:textId="77777777" w:rsidR="00FE7460" w:rsidRPr="00FE7460" w:rsidRDefault="00FE7460" w:rsidP="00FE7460">
      <w:pPr>
        <w:spacing w:before="100" w:beforeAutospacing="1" w:after="100" w:afterAutospacing="1"/>
        <w:outlineLvl w:val="1"/>
        <w:rPr>
          <w:rFonts w:ascii="Times New Roman" w:eastAsia="Times New Roman" w:hAnsi="Times New Roman" w:cs="Times New Roman"/>
          <w:b/>
          <w:bCs/>
          <w:sz w:val="36"/>
          <w:szCs w:val="36"/>
          <w:lang w:eastAsia="de-DE"/>
        </w:rPr>
      </w:pPr>
      <w:r w:rsidRPr="00FE7460">
        <w:rPr>
          <w:rFonts w:ascii="Times New Roman" w:eastAsia="Times New Roman" w:hAnsi="Times New Roman" w:cs="Times New Roman"/>
          <w:b/>
          <w:bCs/>
          <w:sz w:val="36"/>
          <w:szCs w:val="36"/>
          <w:lang w:eastAsia="de-DE"/>
        </w:rPr>
        <w:t>Begründung</w:t>
      </w:r>
    </w:p>
    <w:p w14:paraId="331E8413"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Der Kläger ist rundfunkbeitragspflichtig und wird durch die Beklagte beziehungsweise im System des öffentlich-rechtlichen Rundfunks dauerhaft zur Finanzierung eines Angebots herangezogen, dessen verfassungsrechtliche Rechtfertigung wesentlich auf der tatsächlichen Erfüllung des öffentlich-rechtlichen Funktionsauftrags beruht.</w:t>
      </w:r>
    </w:p>
    <w:p w14:paraId="34BD8985"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 xml:space="preserve">Das Bundesverwaltungsgericht hat mit Urteil vom 15.10.2025 – 6 C 5.24 – ausdrücklich anerkannt, dass programmbezogene Einwendungen gegen die Rundfunkbeitragspflicht nicht </w:t>
      </w:r>
      <w:r w:rsidRPr="00FE7460">
        <w:rPr>
          <w:rFonts w:ascii="Times New Roman" w:eastAsia="Times New Roman" w:hAnsi="Times New Roman" w:cs="Times New Roman"/>
          <w:lang w:eastAsia="de-DE"/>
        </w:rPr>
        <w:lastRenderedPageBreak/>
        <w:t>von vornherein unbeachtlich sind. Ein strukturelles und evidentes Defizit des öffentlich-rechtlichen Gesamtangebots hinsichtlich Vielfalt und Ausgewogenheit kann danach beitragsrechtliche Bedeutung besitzen.</w:t>
      </w:r>
    </w:p>
    <w:p w14:paraId="66518B21"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Damit ist der Einwand grundsätzlich eröffnet.</w:t>
      </w:r>
    </w:p>
    <w:p w14:paraId="61536CB1"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Gleichzeitig verlangt die verwaltungsgerichtliche Rechtsprechung von Beitragspflichtigen inzwischen regelmäßig eine wissenschaftlich belastbare, langfristige und das Gesamtangebot erfassende Substantiierung. Einzelbeispiele, subjektive Wahrnehmungen oder punktuelle Programmkritik sollen nicht genügen. Verlangt wird vielmehr eine empirisch tragfähige Gesamtanalyse über einen längeren Zeitraum hinweg.</w:t>
      </w:r>
    </w:p>
    <w:p w14:paraId="587DBE3B"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Genau hier entsteht der zentrale rechtsstaatliche Konflikt dieses Verfahrens.</w:t>
      </w:r>
    </w:p>
    <w:p w14:paraId="6AF7C7E8"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Der Kläger soll einen wissenschaftlich belastbaren Vortrag führen, verfügt jedoch nicht über die dafür erforderlichen Daten. Die relevanten Programmdaten, Archivstrukturen, Transkripte, Metadaten, Verschlagwortungen, internen Kontrollmechanismen, Monitoringberichte und Soll-Ist-Auswertungen befinden sich im Herrschaftsbereich der Rundfunkanstalten selbst. Das V-Gutachten beschreibt diesen Zirkelschluss ausdrücklich: Der Bürger soll substantiiert vortragen, erhält aber keinen Zugang zu den Daten, die für genau diesen Vortrag erforderlich sind.</w:t>
      </w:r>
    </w:p>
    <w:p w14:paraId="3EBCED64"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Beklagte und andere öffentlich-rechtliche Rundfunkanstalten haben in zahlreichen Verfahren und außergerichtlichen Auskunftsbegehren die Herausgabe solcher Daten verweigert. Die Ablehnungen erfolgen regelmäßig mit gleichförmiger Begründung. Es werde nicht herausgegeben; eine Herausgabepflicht bestehe nicht; die begehrten Informationen beträfen journalistisch-redaktionelle Vorgänge oder interne Datenstrukturen.</w:t>
      </w:r>
    </w:p>
    <w:p w14:paraId="70EBF48F"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Diese Verweigerung ist inzwischen nicht vereinzelt, sondern strukturell. Sie betrifft Auskunfts- und Datensicherungsanträge gegenüber Landesrundfunkanstalten der ARD, dem ZDF und Deutschlandradio. In zahlreichen Gerichtsverfahren ist aktenkundig, dass die Rundfunkanstalten die für eine wissenschaftliche Gesamtanalyse erforderliche Mitwirkung nicht leisten wollen.</w:t>
      </w:r>
    </w:p>
    <w:p w14:paraId="27120CFC"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Damit entsteht eine prozessuale Sackgasse:</w:t>
      </w:r>
    </w:p>
    <w:p w14:paraId="7A88DCC3"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Gerichte verlangen wissenschaftliche Evidenz.</w:t>
      </w:r>
    </w:p>
    <w:p w14:paraId="6F8A0E09"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Diese Evidenz setzt vollständige und auswertbare Daten voraus.</w:t>
      </w:r>
    </w:p>
    <w:p w14:paraId="1E497060"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Diese Daten liegen bei den Rundfunkanstalten.</w:t>
      </w:r>
    </w:p>
    <w:p w14:paraId="0268C528"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Rundfunkanstalten verweigern die Herausgabe.</w:t>
      </w:r>
    </w:p>
    <w:p w14:paraId="08603E71"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Anschließend wird dem Bürger entgegengehalten, sein Vortrag sei nicht ausreichend substantiiert.</w:t>
      </w:r>
    </w:p>
    <w:p w14:paraId="6F481D49"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Ein solcher Kreislauf entleert den Rechtsschutz praktisch.</w:t>
      </w:r>
    </w:p>
    <w:p w14:paraId="3C987F1C"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lastRenderedPageBreak/>
        <w:t>Das Problem besteht nicht darin, dass der Kläger ohne Weiteres Recht bekommen müsste. Das Problem besteht darin, dass der Kläger in die Lage versetzt werden muss, einen höchstrichterlich zugelassenen Einwand überhaupt real führen zu können.</w:t>
      </w:r>
    </w:p>
    <w:p w14:paraId="41511AA1"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Art. 19 Abs. 4 GG garantiert nicht nur einen formalen Zugang zum Gericht. Effektiver Rechtsschutz verlangt eine reale Möglichkeit, einen rechtlich erheblichen Einwand unter zumutbaren Bedingungen zur gerichtlichen Prüfung zu stellen. Wenn der Bürger den Einwand nur mit Daten führen kann, die ausschließlich bei der Beklagten liegen, darf die Beklagte nicht zugleich jede Mitwirkung verweigern und sich anschließend auf fehlende Substantiierung berufen.</w:t>
      </w:r>
    </w:p>
    <w:p w14:paraId="5F777AF0"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Das V-Gutachten legt ausführlich dar, dass moderne Rundfunkanstalten über strukturierte digitale Inhalts-, Archiv- und Metadatensysteme verfügen. Für wissenschaftliche Inhaltsanalysen, Frequenzanalysen, Metadaten-Auswertungen, Framing-Untersuchungen und die Rekonstruktion publizistischer Gewichtungen sind solche Daten zentral. Während die Klägerseite auf fragmentarische öffentliche Inhalte angewiesen bleibt, verfügt die Rundfunkseite über zentralisierte, strukturierte und maschinell auswertbare Datenbestände.</w:t>
      </w:r>
    </w:p>
    <w:p w14:paraId="05B42AF9"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Öffentlich ausgestrahltes Programm ist gerade nicht gleichbedeutend mit einem wissenschaftlich auswertbaren Datenbestand. Eine flüchtige Fernsehausstrahlung oder eine zeitlich begrenzte Mediatheksverfügbarkeit ersetzt keine vollständigen Transkripte, Metadaten, Sendeprotokolle, Archivkennzeichnungen und Depublizierungsnachweise. Das V-Gutachten führt deshalb zutreffend aus, dass öffentlich zugängliches Material nur Indizien liefern kann, aber keine vollständige reproduzierbare Langzeitanalyse ermöglicht.</w:t>
      </w:r>
    </w:p>
    <w:p w14:paraId="6BE14781"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Besonders verschärft wird die Lage durch gesetzliche Depublizierungspflichten. Inhalte, die für eine spätere wissenschaftliche Analyse notwendig wären, werden teilweise nach Ablauf bestimmter Fristen aus den öffentlich zugänglichen Angeboten entfernt. Die Rundfunkanstalten behalten aber interne Archiv- und Strukturinformationen. Dadurch entsteht eine doppelte Asymmetrie: Der Bürger verliert öffentlichen Zugriff, während die Rundfunkanstalt die vollständige Informationsherrschaft behält.</w:t>
      </w:r>
    </w:p>
    <w:p w14:paraId="3C8110C8"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Der Kläger hat daher ein berechtigtes Interesse daran, dass ihm die für die wissenschaftliche Programmrüge notwendigen Daten zugänglich gemacht werden oder jedenfalls festgestellt wird, dass ohne diesen Datenzugang kein substantiierter Vortrag verlangt werden darf.</w:t>
      </w:r>
    </w:p>
    <w:p w14:paraId="3E6D984E" w14:textId="77777777" w:rsidR="00FE7460" w:rsidRPr="00FE7460" w:rsidRDefault="0017437C" w:rsidP="00FE7460">
      <w:pPr>
        <w:rPr>
          <w:rFonts w:ascii="Times New Roman" w:eastAsia="Times New Roman" w:hAnsi="Times New Roman" w:cs="Times New Roman"/>
          <w:lang w:eastAsia="de-DE"/>
        </w:rPr>
      </w:pPr>
      <w:r w:rsidRPr="00FE7460">
        <w:rPr>
          <w:rFonts w:ascii="Times New Roman" w:eastAsia="Times New Roman" w:hAnsi="Times New Roman" w:cs="Times New Roman"/>
          <w:noProof/>
          <w:lang w:eastAsia="de-DE"/>
        </w:rPr>
        <w:pict w14:anchorId="0BC0AD3E">
          <v:rect id="_x0000_i1031" alt="" style="width:453.15pt;height:.05pt;mso-width-percent:0;mso-height-percent:0;mso-width-percent:0;mso-height-percent:0" o:hrpct="999" o:hralign="center" o:hrstd="t" o:hr="t" fillcolor="#a0a0a0" stroked="f"/>
        </w:pict>
      </w:r>
    </w:p>
    <w:p w14:paraId="0D78C566" w14:textId="77777777" w:rsidR="00FE7460" w:rsidRPr="00FE7460" w:rsidRDefault="00FE7460" w:rsidP="00FE7460">
      <w:pPr>
        <w:spacing w:before="100" w:beforeAutospacing="1" w:after="100" w:afterAutospacing="1"/>
        <w:outlineLvl w:val="1"/>
        <w:rPr>
          <w:rFonts w:ascii="Times New Roman" w:eastAsia="Times New Roman" w:hAnsi="Times New Roman" w:cs="Times New Roman"/>
          <w:b/>
          <w:bCs/>
          <w:sz w:val="36"/>
          <w:szCs w:val="36"/>
          <w:lang w:eastAsia="de-DE"/>
        </w:rPr>
      </w:pPr>
      <w:r w:rsidRPr="00FE7460">
        <w:rPr>
          <w:rFonts w:ascii="Times New Roman" w:eastAsia="Times New Roman" w:hAnsi="Times New Roman" w:cs="Times New Roman"/>
          <w:b/>
          <w:bCs/>
          <w:sz w:val="36"/>
          <w:szCs w:val="36"/>
          <w:lang w:eastAsia="de-DE"/>
        </w:rPr>
        <w:t>Zur Zulässigkeit</w:t>
      </w:r>
    </w:p>
    <w:p w14:paraId="6D39A475"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Klage ist zulässig.</w:t>
      </w:r>
    </w:p>
    <w:p w14:paraId="57670481"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Der Verwaltungsrechtsweg ist eröffnet, weil die Streitigkeit öffentlich-rechtlicher Natur ist. Gegenstand ist nicht ein privatrechtlicher Informationswunsch, sondern die Frage, welche Mitwirkungs- und Offenlegungspflichten eine öffentlich-rechtliche Rundfunkanstalt im Zusammenhang mit einer gesetzlich begründeten Beitragspflicht und einer höchstrichterlich eröffneten Programmrüge treffen.</w:t>
      </w:r>
    </w:p>
    <w:p w14:paraId="2624A733"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 xml:space="preserve">Der Kläger ist klagebefugt. Er ist beitragspflichtig und damit unmittelbar von der Frage betroffen, ob er einen rechtlich anerkannten Einwand gegen die Rundfunkbeitragspflicht </w:t>
      </w:r>
      <w:r w:rsidRPr="00FE7460">
        <w:rPr>
          <w:rFonts w:ascii="Times New Roman" w:eastAsia="Times New Roman" w:hAnsi="Times New Roman" w:cs="Times New Roman"/>
          <w:lang w:eastAsia="de-DE"/>
        </w:rPr>
        <w:lastRenderedPageBreak/>
        <w:t>praktisch führen kann. Wird ihm der hierfür notwendige Datenzugang verweigert, wird sein Recht auf effektiven Rechtsschutz aus Art. 19 Abs. 4 GG berührt.</w:t>
      </w:r>
    </w:p>
    <w:p w14:paraId="672F1D4D"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Soweit die Beklagte die Datenherausgabe ausdrücklich oder konkludent verweigert hat, ist die allgemeine Leistungsklage statthaft. Jedenfalls ist hilfsweise die Feststellungsklage nach § 43 VwGO zulässig, weil zwischen den Beteiligten ein konkretes feststellungsfähiges Rechtsverhältnis besteht. Streitig ist, ob die Beklagte verpflichtet ist, dem beitragspflichtigen Kläger die für eine substantiierte Programmrüge erforderlichen Daten zugänglich zu machen oder ob sie jede Mitwirkung verweigern darf.</w:t>
      </w:r>
    </w:p>
    <w:p w14:paraId="158401A5"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Das Feststellungsinteresse ergibt sich daraus, dass die Frage in zahlreichen Beitragsverfahren entscheidungserheblich geworden ist und die Rundfunkanstalten die Mitwirkung systematisch verweigern. Der Kläger kann nicht darauf verwiesen werden, diese Frage immer wieder nur inzident in einzelnen Beitragsverfahren aufzuwerfen, wenn genau dort die Gerichte den Vortrag mangels ausreichender Substantiierung zurückweisen.</w:t>
      </w:r>
    </w:p>
    <w:p w14:paraId="043FD549" w14:textId="77777777" w:rsidR="00FE7460" w:rsidRPr="00FE7460" w:rsidRDefault="0017437C" w:rsidP="00FE7460">
      <w:pPr>
        <w:rPr>
          <w:rFonts w:ascii="Times New Roman" w:eastAsia="Times New Roman" w:hAnsi="Times New Roman" w:cs="Times New Roman"/>
          <w:lang w:eastAsia="de-DE"/>
        </w:rPr>
      </w:pPr>
      <w:r w:rsidRPr="00FE7460">
        <w:rPr>
          <w:rFonts w:ascii="Times New Roman" w:eastAsia="Times New Roman" w:hAnsi="Times New Roman" w:cs="Times New Roman"/>
          <w:noProof/>
          <w:lang w:eastAsia="de-DE"/>
        </w:rPr>
        <w:pict w14:anchorId="075444D5">
          <v:rect id="_x0000_i1030" alt="" style="width:453.15pt;height:.05pt;mso-width-percent:0;mso-height-percent:0;mso-width-percent:0;mso-height-percent:0" o:hrpct="999" o:hralign="center" o:hrstd="t" o:hr="t" fillcolor="#a0a0a0" stroked="f"/>
        </w:pict>
      </w:r>
    </w:p>
    <w:p w14:paraId="1FE609CB" w14:textId="77777777" w:rsidR="00FE7460" w:rsidRPr="00FE7460" w:rsidRDefault="00FE7460" w:rsidP="00FE7460">
      <w:pPr>
        <w:spacing w:before="100" w:beforeAutospacing="1" w:after="100" w:afterAutospacing="1"/>
        <w:outlineLvl w:val="1"/>
        <w:rPr>
          <w:rFonts w:ascii="Times New Roman" w:eastAsia="Times New Roman" w:hAnsi="Times New Roman" w:cs="Times New Roman"/>
          <w:b/>
          <w:bCs/>
          <w:sz w:val="36"/>
          <w:szCs w:val="36"/>
          <w:lang w:eastAsia="de-DE"/>
        </w:rPr>
      </w:pPr>
      <w:r w:rsidRPr="00FE7460">
        <w:rPr>
          <w:rFonts w:ascii="Times New Roman" w:eastAsia="Times New Roman" w:hAnsi="Times New Roman" w:cs="Times New Roman"/>
          <w:b/>
          <w:bCs/>
          <w:sz w:val="36"/>
          <w:szCs w:val="36"/>
          <w:lang w:eastAsia="de-DE"/>
        </w:rPr>
        <w:t>Zur Begründetheit</w:t>
      </w:r>
    </w:p>
    <w:p w14:paraId="57127408"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Klage ist begründet.</w:t>
      </w:r>
    </w:p>
    <w:p w14:paraId="79FA3517"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Beklagte ist als öffentlich-rechtliche Rundfunkanstalt Teil eines beitragsfinanzierten Systems, dessen Legitimation nach der Rechtsprechung des Bundesverwaltungsgerichts nicht vollständig von der tatsächlichen Erfüllung des Funktionsauftrags abgekoppelt ist.</w:t>
      </w:r>
    </w:p>
    <w:p w14:paraId="0ED39990"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Wenn die Beklagte den Rundfunkbeitrag erhebt oder dessen Erhebung im System mitträgt, muss sie sich auch einer tatsächlichen Überprüfung derjenigen Voraussetzungen stellen, die die Beitragspflicht verfassungsrechtlich legitimieren.</w:t>
      </w:r>
    </w:p>
    <w:p w14:paraId="66B6D37F"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Das Bundesverwaltungsgericht verlangt vom Bürger keine bloße Meinungsäußerung, sondern wissenschaftlich belastbare Substantiierung. Daraus folgt zwingend, dass die hierfür erforderlichen Daten nicht vollständig abgeschirmt werden dürfen.</w:t>
      </w:r>
    </w:p>
    <w:p w14:paraId="0EDC9318"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Beklagte verfügt über eine besondere Beweisnähe. Sie besitzt oder kontrolliert die relevanten Daten. Sie kann wesentlich leichter als der Kläger darlegen, welche Programme ausgestrahlt wurden, welche Inhalte vorlagen, welche Themen behandelt wurden, welche Metadaten existieren, welche Inhalte depubliziert wurden und ob interne Kontrollmechanismen zur Sicherung von Vielfalt und Ausgewogenheit bestehen.</w:t>
      </w:r>
    </w:p>
    <w:p w14:paraId="3F03BF09"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vollständige Verweigerung jeder Mitwirkung führt dazu, dass die vom Bundesverwaltungsgericht eröffnete Programmrüge praktisch leerläuft. Das V-Gutachten beschreibt diese Lage präzise als strukturelle Beweisnot: Der Bürger darf den Einwand grundsätzlich erheben, kann ihn aber ohne Mitwirkung der Rundfunkanstalten kaum in der geforderten wissenschaftlichen Tiefe beweisen.</w:t>
      </w:r>
    </w:p>
    <w:p w14:paraId="0DC48268"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Es geht nicht um eine unzulässige Ausforschung. Der Kläger verlangt keine beliebige Einsicht in redaktionelle Interna. Er verlangt Zugang zu denjenigen strukturellen Daten, die erforderlich sind, um einen höchstrichterlich anerkannten Einwand überhaupt sachgerecht führen zu können.</w:t>
      </w:r>
    </w:p>
    <w:p w14:paraId="46CB83DB"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lastRenderedPageBreak/>
        <w:t>Der Kläger begehrt auch keine gerichtliche Kontrolle einzelner journalistischer Entscheidungen. Gegenstand ist nicht die Bewertung einzelner Sendungen, Journalisten oder Beiträge. Gegenstand ist die empirische Überprüfbarkeit struktureller Vielfalt und Ausgewogenheit des öffentlich-rechtlichen Gesamtangebots über längere Zeiträume.</w:t>
      </w:r>
    </w:p>
    <w:p w14:paraId="088E4B9E"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Diese Unterscheidung ist entscheidend.</w:t>
      </w:r>
    </w:p>
    <w:p w14:paraId="55F7A4D2"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Programmautonomie schützt journalistische Entscheidungsspielräume. Sie darf aber nicht dazu führen, dass die tatsächliche Erfüllung des verfassungsrechtlichen Funktionsauftrags jeder praktischen Kontrolle entzogen wird. Programmautonomie ist kein Datenabschirmungsrecht gegen effektiven Rechtsschutz.</w:t>
      </w:r>
    </w:p>
    <w:p w14:paraId="187ADD84"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Auch der Hinweis auf Rundfunkräte und interne Gremienkontrolle genügt nicht. Wenn der Bürger gerichtlich geltend machen darf, dass die tatsächliche Programmwirklichkeit den Funktionsauftrag strukturell verfehlt, dann kann dieser Einwand nicht durch Verweis auf dieselben internen Strukturen erledigt werden, deren Wirksamkeit gerade in Zweifel steht.</w:t>
      </w:r>
    </w:p>
    <w:p w14:paraId="3C90C088"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Die Beklagte kann sich schließlich nicht darauf berufen, die Zusammenstellung der Daten sei aufwendig. Der Aufwand entsteht gerade aus der vom Bundesverwaltungsgericht geforderten wissenschaftlichen Gesamtbetrachtung. Wenn Gerichte den Bürger auf eine solche Gesamtanalyse verweisen, darf die datenhaltende Institution nicht jede Mitwirkung mit Aufwandserwägungen verweigern. Andernfalls würde das Kosten- und Aufwandsrisiko vollständig auf den Bürger verlagert, obwohl die Daten strukturell bei der Beklagten liegen.</w:t>
      </w:r>
    </w:p>
    <w:p w14:paraId="1837085C" w14:textId="77777777" w:rsidR="00FE7460" w:rsidRPr="00FE7460" w:rsidRDefault="0017437C" w:rsidP="00FE7460">
      <w:pPr>
        <w:rPr>
          <w:rFonts w:ascii="Times New Roman" w:eastAsia="Times New Roman" w:hAnsi="Times New Roman" w:cs="Times New Roman"/>
          <w:lang w:eastAsia="de-DE"/>
        </w:rPr>
      </w:pPr>
      <w:r w:rsidRPr="00FE7460">
        <w:rPr>
          <w:rFonts w:ascii="Times New Roman" w:eastAsia="Times New Roman" w:hAnsi="Times New Roman" w:cs="Times New Roman"/>
          <w:noProof/>
          <w:lang w:eastAsia="de-DE"/>
        </w:rPr>
        <w:pict w14:anchorId="5588BE42">
          <v:rect id="_x0000_i1029" alt="" style="width:453.15pt;height:.05pt;mso-width-percent:0;mso-height-percent:0;mso-width-percent:0;mso-height-percent:0" o:hrpct="999" o:hralign="center" o:hrstd="t" o:hr="t" fillcolor="#a0a0a0" stroked="f"/>
        </w:pict>
      </w:r>
    </w:p>
    <w:p w14:paraId="12487AEE" w14:textId="77777777" w:rsidR="00FE7460" w:rsidRPr="00FE7460" w:rsidRDefault="00FE7460" w:rsidP="00FE7460">
      <w:pPr>
        <w:spacing w:before="100" w:beforeAutospacing="1" w:after="100" w:afterAutospacing="1"/>
        <w:outlineLvl w:val="1"/>
        <w:rPr>
          <w:rFonts w:ascii="Times New Roman" w:eastAsia="Times New Roman" w:hAnsi="Times New Roman" w:cs="Times New Roman"/>
          <w:b/>
          <w:bCs/>
          <w:sz w:val="36"/>
          <w:szCs w:val="36"/>
          <w:lang w:eastAsia="de-DE"/>
        </w:rPr>
      </w:pPr>
      <w:r w:rsidRPr="00FE7460">
        <w:rPr>
          <w:rFonts w:ascii="Times New Roman" w:eastAsia="Times New Roman" w:hAnsi="Times New Roman" w:cs="Times New Roman"/>
          <w:b/>
          <w:bCs/>
          <w:sz w:val="36"/>
          <w:szCs w:val="36"/>
          <w:lang w:eastAsia="de-DE"/>
        </w:rPr>
        <w:t>Beweisangebot</w:t>
      </w:r>
    </w:p>
    <w:p w14:paraId="01A0B735"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Zum Nachweis der systematischen Datenverweigerung wird angeboten:</w:t>
      </w:r>
    </w:p>
    <w:p w14:paraId="0DA12F51" w14:textId="77777777" w:rsidR="00FE7460" w:rsidRPr="00FE7460" w:rsidRDefault="00FE7460" w:rsidP="00FE7460">
      <w:pPr>
        <w:numPr>
          <w:ilvl w:val="0"/>
          <w:numId w:val="2"/>
        </w:num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Vorlage der an ARD-Landesrundfunkanstalten, ZDF und Deutschlandradio gerichteten Auskunfts- und Datensicherungsanträge.</w:t>
      </w:r>
    </w:p>
    <w:p w14:paraId="7BA0FFB4" w14:textId="77777777" w:rsidR="00FE7460" w:rsidRPr="00FE7460" w:rsidRDefault="00FE7460" w:rsidP="00FE7460">
      <w:pPr>
        <w:numPr>
          <w:ilvl w:val="0"/>
          <w:numId w:val="2"/>
        </w:num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Vorlage der hierauf ergangenen Ablehnungsschreiben.</w:t>
      </w:r>
    </w:p>
    <w:p w14:paraId="6A7E9A75" w14:textId="77777777" w:rsidR="00FE7460" w:rsidRPr="00FE7460" w:rsidRDefault="00FE7460" w:rsidP="00FE7460">
      <w:pPr>
        <w:numPr>
          <w:ilvl w:val="0"/>
          <w:numId w:val="2"/>
        </w:num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Beiziehung der Gerichtsakten aus den Verfahren, in denen entsprechende Anträge gestellt und von den Rundfunkanstalten abgelehnt wurden.</w:t>
      </w:r>
    </w:p>
    <w:p w14:paraId="15F8588B" w14:textId="77777777" w:rsidR="00FE7460" w:rsidRPr="00FE7460" w:rsidRDefault="00FE7460" w:rsidP="00FE7460">
      <w:pPr>
        <w:numPr>
          <w:ilvl w:val="0"/>
          <w:numId w:val="2"/>
        </w:num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Sachverständigengutachten zu der Frage, welche Daten für eine wissenschaftlich belastbare Langzeitanalyse des öffentlich-rechtlichen Gesamtangebots erforderlich sind.</w:t>
      </w:r>
    </w:p>
    <w:p w14:paraId="73697E65" w14:textId="77777777" w:rsidR="00FE7460" w:rsidRPr="00FE7460" w:rsidRDefault="00FE7460" w:rsidP="00FE7460">
      <w:pPr>
        <w:numPr>
          <w:ilvl w:val="0"/>
          <w:numId w:val="2"/>
        </w:num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Sachverständigengutachten zu der Frage, ob öffentlich zugängliche Mediatheksinhalte ohne interne Metadaten, Transkripte, Sendeprotokolle, Depublizierungsdaten und Archivstrukturen für eine reproduzierbare wissenschaftliche Gesamtanalyse ausreichen.</w:t>
      </w:r>
    </w:p>
    <w:p w14:paraId="3122E7D9" w14:textId="77777777" w:rsidR="00FE7460" w:rsidRPr="00FE7460" w:rsidRDefault="00FE7460" w:rsidP="00FE7460">
      <w:pPr>
        <w:numPr>
          <w:ilvl w:val="0"/>
          <w:numId w:val="2"/>
        </w:num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Vorlage des V-Gutachtens der Freiheitskanzlei, Version 1.3, als methodische und verfassungsrechtliche Voranalyse.</w:t>
      </w:r>
    </w:p>
    <w:p w14:paraId="23252CC0" w14:textId="77777777" w:rsidR="00FE7460" w:rsidRPr="00FE7460" w:rsidRDefault="0017437C" w:rsidP="00FE7460">
      <w:pPr>
        <w:rPr>
          <w:rFonts w:ascii="Times New Roman" w:eastAsia="Times New Roman" w:hAnsi="Times New Roman" w:cs="Times New Roman"/>
          <w:lang w:eastAsia="de-DE"/>
        </w:rPr>
      </w:pPr>
      <w:r w:rsidRPr="00FE7460">
        <w:rPr>
          <w:rFonts w:ascii="Times New Roman" w:eastAsia="Times New Roman" w:hAnsi="Times New Roman" w:cs="Times New Roman"/>
          <w:noProof/>
          <w:lang w:eastAsia="de-DE"/>
        </w:rPr>
        <w:pict w14:anchorId="6C368A80">
          <v:rect id="_x0000_i1028" alt="" style="width:453.15pt;height:.05pt;mso-width-percent:0;mso-height-percent:0;mso-width-percent:0;mso-height-percent:0" o:hrpct="999" o:hralign="center" o:hrstd="t" o:hr="t" fillcolor="#a0a0a0" stroked="f"/>
        </w:pict>
      </w:r>
    </w:p>
    <w:p w14:paraId="64328F13" w14:textId="77777777" w:rsidR="00FE7460" w:rsidRPr="00FE7460" w:rsidRDefault="00FE7460" w:rsidP="00FE7460">
      <w:pPr>
        <w:spacing w:before="100" w:beforeAutospacing="1" w:after="100" w:afterAutospacing="1"/>
        <w:outlineLvl w:val="1"/>
        <w:rPr>
          <w:rFonts w:ascii="Times New Roman" w:eastAsia="Times New Roman" w:hAnsi="Times New Roman" w:cs="Times New Roman"/>
          <w:b/>
          <w:bCs/>
          <w:sz w:val="36"/>
          <w:szCs w:val="36"/>
          <w:lang w:eastAsia="de-DE"/>
        </w:rPr>
      </w:pPr>
      <w:r w:rsidRPr="00FE7460">
        <w:rPr>
          <w:rFonts w:ascii="Times New Roman" w:eastAsia="Times New Roman" w:hAnsi="Times New Roman" w:cs="Times New Roman"/>
          <w:b/>
          <w:bCs/>
          <w:sz w:val="36"/>
          <w:szCs w:val="36"/>
          <w:lang w:eastAsia="de-DE"/>
        </w:rPr>
        <w:t>Schlussbemerkung</w:t>
      </w:r>
    </w:p>
    <w:p w14:paraId="02A7B721"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lastRenderedPageBreak/>
        <w:t>Dieses Verfahren betrifft nicht die Frage, ob der öffentlich-rechtliche Rundfunk im Ergebnis seinen Funktionsauftrag erfüllt oder verfehlt.</w:t>
      </w:r>
    </w:p>
    <w:p w14:paraId="77291DB0"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Es betrifft die vorgelagerte Frage, ob ein Bürger den vom Bundesverwaltungsgericht eröffneten Einwand überhaupt praktisch führen kann, wenn die datenhaltenden Rundfunkanstalten jede Mitwirkung verweigern.</w:t>
      </w:r>
    </w:p>
    <w:p w14:paraId="7F64EBB0"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Genau diese Frage muss nun eigenständig gerichtlich geklärt werden.</w:t>
      </w:r>
    </w:p>
    <w:p w14:paraId="5DB2AE5B"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Der Rechtsstaat darf keinen Einwand eröffnen, dessen tatsächliche Darlegung er zugleich unmöglich macht.</w:t>
      </w:r>
    </w:p>
    <w:p w14:paraId="2AD7B6CC" w14:textId="77777777" w:rsidR="00FE7460" w:rsidRPr="00FE7460" w:rsidRDefault="0017437C" w:rsidP="00FE7460">
      <w:pPr>
        <w:rPr>
          <w:rFonts w:ascii="Times New Roman" w:eastAsia="Times New Roman" w:hAnsi="Times New Roman" w:cs="Times New Roman"/>
          <w:lang w:eastAsia="de-DE"/>
        </w:rPr>
      </w:pPr>
      <w:r w:rsidRPr="00FE7460">
        <w:rPr>
          <w:rFonts w:ascii="Times New Roman" w:eastAsia="Times New Roman" w:hAnsi="Times New Roman" w:cs="Times New Roman"/>
          <w:noProof/>
          <w:lang w:eastAsia="de-DE"/>
        </w:rPr>
        <w:pict w14:anchorId="0B40466F">
          <v:rect id="_x0000_i1027" alt="" style="width:453.15pt;height:.05pt;mso-width-percent:0;mso-height-percent:0;mso-width-percent:0;mso-height-percent:0" o:hrpct="999" o:hralign="center" o:hrstd="t" o:hr="t" fillcolor="#a0a0a0" stroked="f"/>
        </w:pict>
      </w:r>
    </w:p>
    <w:p w14:paraId="308C6C81"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b/>
          <w:bCs/>
          <w:lang w:eastAsia="de-DE"/>
        </w:rPr>
        <w:t>Unterschrift</w:t>
      </w:r>
    </w:p>
    <w:p w14:paraId="162B53C7" w14:textId="77777777" w:rsidR="00FE7460" w:rsidRPr="00FE7460" w:rsidRDefault="0017437C" w:rsidP="00FE7460">
      <w:pPr>
        <w:rPr>
          <w:rFonts w:ascii="Times New Roman" w:eastAsia="Times New Roman" w:hAnsi="Times New Roman" w:cs="Times New Roman"/>
          <w:lang w:eastAsia="de-DE"/>
        </w:rPr>
      </w:pPr>
      <w:r w:rsidRPr="00FE7460">
        <w:rPr>
          <w:rFonts w:ascii="Times New Roman" w:eastAsia="Times New Roman" w:hAnsi="Times New Roman" w:cs="Times New Roman"/>
          <w:noProof/>
          <w:lang w:eastAsia="de-DE"/>
        </w:rPr>
        <w:pict w14:anchorId="474CDD6E">
          <v:rect id="_x0000_i1026" alt="" style="width:453.15pt;height:.05pt;mso-width-percent:0;mso-height-percent:0;mso-width-percent:0;mso-height-percent:0" o:hrpct="999" o:hralign="center" o:hrstd="t" o:hr="t" fillcolor="#a0a0a0" stroked="f"/>
        </w:pict>
      </w:r>
    </w:p>
    <w:p w14:paraId="1739B4A4" w14:textId="77777777" w:rsidR="00FE7460" w:rsidRPr="00FE7460" w:rsidRDefault="0017437C" w:rsidP="00FE7460">
      <w:pPr>
        <w:rPr>
          <w:rFonts w:ascii="Times New Roman" w:eastAsia="Times New Roman" w:hAnsi="Times New Roman" w:cs="Times New Roman"/>
          <w:lang w:eastAsia="de-DE"/>
        </w:rPr>
      </w:pPr>
      <w:r w:rsidRPr="00FE7460">
        <w:rPr>
          <w:rFonts w:ascii="Times New Roman" w:eastAsia="Times New Roman" w:hAnsi="Times New Roman" w:cs="Times New Roman"/>
          <w:noProof/>
          <w:lang w:eastAsia="de-DE"/>
        </w:rPr>
        <w:pict w14:anchorId="328F8CE3">
          <v:rect id="_x0000_i1025" alt="" style="width:453.15pt;height:.05pt;mso-width-percent:0;mso-height-percent:0;mso-width-percent:0;mso-height-percent:0" o:hrpct="999" o:hralign="center" o:hrstd="t" o:hr="t" fillcolor="#a0a0a0" stroked="f"/>
        </w:pict>
      </w:r>
    </w:p>
    <w:p w14:paraId="1BD3A5A9" w14:textId="77777777" w:rsidR="00FE7460" w:rsidRPr="00FE7460" w:rsidRDefault="00FE7460" w:rsidP="00FE7460">
      <w:pPr>
        <w:spacing w:before="100" w:beforeAutospacing="1" w:after="100" w:afterAutospacing="1"/>
        <w:rPr>
          <w:rFonts w:ascii="Times New Roman" w:eastAsia="Times New Roman" w:hAnsi="Times New Roman" w:cs="Times New Roman"/>
          <w:lang w:eastAsia="de-DE"/>
        </w:rPr>
      </w:pPr>
      <w:r w:rsidRPr="00FE7460">
        <w:rPr>
          <w:rFonts w:ascii="Times New Roman" w:eastAsia="Times New Roman" w:hAnsi="Times New Roman" w:cs="Times New Roman"/>
          <w:lang w:eastAsia="de-DE"/>
        </w:rPr>
        <w:t xml:space="preserve">Das ist der richtige Hebel. Nicht mehr: „Bitte bewertet endlich unser Gutachten.“ Sondern: </w:t>
      </w:r>
      <w:r w:rsidRPr="00FE7460">
        <w:rPr>
          <w:rFonts w:ascii="Times New Roman" w:eastAsia="Times New Roman" w:hAnsi="Times New Roman" w:cs="Times New Roman"/>
          <w:b/>
          <w:bCs/>
          <w:lang w:eastAsia="de-DE"/>
        </w:rPr>
        <w:t>„Klärt zuerst, ob der Bürger ohne Daten überhaupt beweisfähig sein kann.“</w:t>
      </w:r>
    </w:p>
    <w:p w14:paraId="042D235E" w14:textId="77777777" w:rsidR="00C9691E" w:rsidRDefault="00C9691E"/>
    <w:sectPr w:rsidR="00C9691E" w:rsidSect="000A4B2E">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343EBB"/>
    <w:multiLevelType w:val="multilevel"/>
    <w:tmpl w:val="B0BCBD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4950369"/>
    <w:multiLevelType w:val="multilevel"/>
    <w:tmpl w:val="0748C3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444159">
    <w:abstractNumId w:val="1"/>
  </w:num>
  <w:num w:numId="2" w16cid:durableId="1554733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460"/>
    <w:rsid w:val="000A4B2E"/>
    <w:rsid w:val="000C3A93"/>
    <w:rsid w:val="0017437C"/>
    <w:rsid w:val="00384872"/>
    <w:rsid w:val="004B6A18"/>
    <w:rsid w:val="00736E74"/>
    <w:rsid w:val="00C9691E"/>
    <w:rsid w:val="00F712E6"/>
    <w:rsid w:val="00FE74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F9B0A"/>
  <w15:chartTrackingRefBased/>
  <w15:docId w15:val="{85705651-728C-1447-BFD6-EE194B3A5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E746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E746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E746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E746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E746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E7460"/>
    <w:pPr>
      <w:keepNext/>
      <w:keepLines/>
      <w:spacing w:before="4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E7460"/>
    <w:pPr>
      <w:keepNext/>
      <w:keepLines/>
      <w:spacing w:before="4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E7460"/>
    <w:pPr>
      <w:keepNext/>
      <w:keepLines/>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E7460"/>
    <w:pPr>
      <w:keepNext/>
      <w:keepLines/>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E746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E746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E746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E746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E746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E746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E746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E746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E7460"/>
    <w:rPr>
      <w:rFonts w:eastAsiaTheme="majorEastAsia" w:cstheme="majorBidi"/>
      <w:color w:val="272727" w:themeColor="text1" w:themeTint="D8"/>
    </w:rPr>
  </w:style>
  <w:style w:type="paragraph" w:styleId="Titel">
    <w:name w:val="Title"/>
    <w:basedOn w:val="Standard"/>
    <w:next w:val="Standard"/>
    <w:link w:val="TitelZchn"/>
    <w:uiPriority w:val="10"/>
    <w:qFormat/>
    <w:rsid w:val="00FE7460"/>
    <w:pPr>
      <w:spacing w:after="80"/>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E746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E7460"/>
    <w:pPr>
      <w:numPr>
        <w:ilvl w:val="1"/>
      </w:numPr>
      <w:spacing w:after="160"/>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E746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E7460"/>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E7460"/>
    <w:rPr>
      <w:i/>
      <w:iCs/>
      <w:color w:val="404040" w:themeColor="text1" w:themeTint="BF"/>
    </w:rPr>
  </w:style>
  <w:style w:type="paragraph" w:styleId="Listenabsatz">
    <w:name w:val="List Paragraph"/>
    <w:basedOn w:val="Standard"/>
    <w:uiPriority w:val="34"/>
    <w:qFormat/>
    <w:rsid w:val="00FE7460"/>
    <w:pPr>
      <w:ind w:left="720"/>
      <w:contextualSpacing/>
    </w:pPr>
  </w:style>
  <w:style w:type="character" w:styleId="IntensiveHervorhebung">
    <w:name w:val="Intense Emphasis"/>
    <w:basedOn w:val="Absatz-Standardschriftart"/>
    <w:uiPriority w:val="21"/>
    <w:qFormat/>
    <w:rsid w:val="00FE7460"/>
    <w:rPr>
      <w:i/>
      <w:iCs/>
      <w:color w:val="0F4761" w:themeColor="accent1" w:themeShade="BF"/>
    </w:rPr>
  </w:style>
  <w:style w:type="paragraph" w:styleId="IntensivesZitat">
    <w:name w:val="Intense Quote"/>
    <w:basedOn w:val="Standard"/>
    <w:next w:val="Standard"/>
    <w:link w:val="IntensivesZitatZchn"/>
    <w:uiPriority w:val="30"/>
    <w:qFormat/>
    <w:rsid w:val="00FE746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E7460"/>
    <w:rPr>
      <w:i/>
      <w:iCs/>
      <w:color w:val="0F4761" w:themeColor="accent1" w:themeShade="BF"/>
    </w:rPr>
  </w:style>
  <w:style w:type="character" w:styleId="IntensiverVerweis">
    <w:name w:val="Intense Reference"/>
    <w:basedOn w:val="Absatz-Standardschriftart"/>
    <w:uiPriority w:val="32"/>
    <w:qFormat/>
    <w:rsid w:val="00FE7460"/>
    <w:rPr>
      <w:b/>
      <w:bCs/>
      <w:smallCaps/>
      <w:color w:val="0F4761" w:themeColor="accent1" w:themeShade="BF"/>
      <w:spacing w:val="5"/>
    </w:rPr>
  </w:style>
  <w:style w:type="paragraph" w:styleId="StandardWeb">
    <w:name w:val="Normal (Web)"/>
    <w:basedOn w:val="Standard"/>
    <w:uiPriority w:val="99"/>
    <w:semiHidden/>
    <w:unhideWhenUsed/>
    <w:rsid w:val="00FE7460"/>
    <w:pPr>
      <w:spacing w:before="100" w:beforeAutospacing="1" w:after="100" w:afterAutospacing="1"/>
    </w:pPr>
    <w:rPr>
      <w:rFonts w:ascii="Times New Roman" w:eastAsia="Times New Roman" w:hAnsi="Times New Roman" w:cs="Times New Roman"/>
      <w:lang w:eastAsia="de-DE"/>
    </w:rPr>
  </w:style>
  <w:style w:type="character" w:styleId="Fett">
    <w:name w:val="Strong"/>
    <w:basedOn w:val="Absatz-Standardschriftart"/>
    <w:uiPriority w:val="22"/>
    <w:qFormat/>
    <w:rsid w:val="00FE746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2194</Words>
  <Characters>13828</Characters>
  <Application>Microsoft Office Word</Application>
  <DocSecurity>0</DocSecurity>
  <Lines>115</Lines>
  <Paragraphs>31</Paragraphs>
  <ScaleCrop>false</ScaleCrop>
  <Company/>
  <LinksUpToDate>false</LinksUpToDate>
  <CharactersWithSpaces>15991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Bönig</dc:creator>
  <cp:keywords/>
  <dc:description/>
  <cp:lastModifiedBy>Markus Bönig</cp:lastModifiedBy>
  <cp:revision>1</cp:revision>
  <dcterms:created xsi:type="dcterms:W3CDTF">2026-07-07T20:52:00Z</dcterms:created>
  <dcterms:modified xsi:type="dcterms:W3CDTF">2026-07-07T20:53:00Z</dcterms:modified>
</cp:coreProperties>
</file>