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A5E579"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Ja. Ich habe die bisherige Klage jetzt </w:t>
      </w:r>
      <w:r w:rsidRPr="008F7D05">
        <w:rPr>
          <w:rFonts w:ascii="Times New Roman" w:eastAsia="Times New Roman" w:hAnsi="Times New Roman" w:cs="Times New Roman"/>
          <w:b/>
          <w:bCs/>
          <w:kern w:val="0"/>
          <w:lang w:eastAsia="de-DE"/>
          <w14:ligatures w14:val="none"/>
        </w:rPr>
        <w:t>grundlegend auf die neue Strategie umgebaut</w:t>
      </w:r>
      <w:r w:rsidRPr="008F7D05">
        <w:rPr>
          <w:rFonts w:ascii="Times New Roman" w:eastAsia="Times New Roman" w:hAnsi="Times New Roman" w:cs="Times New Roman"/>
          <w:kern w:val="0"/>
          <w:lang w:eastAsia="de-DE"/>
          <w14:ligatures w14:val="none"/>
        </w:rPr>
        <w:t xml:space="preserve"> und als umfassende Muster-Feststellungsklage ausgearbeitet.</w:t>
      </w:r>
    </w:p>
    <w:p w14:paraId="27614F57"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hyperlink r:id="rId5" w:history="1">
        <w:r w:rsidRPr="008F7D05">
          <w:rPr>
            <w:rFonts w:ascii="Times New Roman" w:eastAsia="Times New Roman" w:hAnsi="Times New Roman" w:cs="Times New Roman"/>
            <w:color w:val="0000FF"/>
            <w:kern w:val="0"/>
            <w:u w:val="single"/>
            <w:lang w:eastAsia="de-DE"/>
            <w14:ligatures w14:val="none"/>
          </w:rPr>
          <w:t>Muster-Feststellungsklage – effektiver Rechtsschutz / Rundfunkbeitrag</w:t>
        </w:r>
      </w:hyperlink>
    </w:p>
    <w:p w14:paraId="5B2D8429"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Der zentrale Unterschied zur bisherigen Leistungsklage ist: </w:t>
      </w:r>
      <w:r w:rsidRPr="008F7D05">
        <w:rPr>
          <w:rFonts w:ascii="Times New Roman" w:eastAsia="Times New Roman" w:hAnsi="Times New Roman" w:cs="Times New Roman"/>
          <w:b/>
          <w:bCs/>
          <w:kern w:val="0"/>
          <w:lang w:eastAsia="de-DE"/>
          <w14:ligatures w14:val="none"/>
        </w:rPr>
        <w:t>Nicht mehr der Datenherausgabeanspruch steht im Mittelpunkt, sondern die Rechtsfolge der dokumentierten Datenverweigerung.</w:t>
      </w:r>
      <w:r w:rsidRPr="008F7D05">
        <w:rPr>
          <w:rFonts w:ascii="Times New Roman" w:eastAsia="Times New Roman" w:hAnsi="Times New Roman" w:cs="Times New Roman"/>
          <w:kern w:val="0"/>
          <w:lang w:eastAsia="de-DE"/>
          <w14:ligatures w14:val="none"/>
        </w:rPr>
        <w:t xml:space="preserve"> Genau damit folgt die Klage jetzt eurem „51-Gerichte“-Ansatz: Der Kläger hat den Beitragsrechtsweg bereits erfolglos beschritten, die vier Gutachten lagen bereits vor, danach hat er die tatsächlich benötigten Erkenntniszugänge bei Landesrundfunkanstalt, ZDF, Deutschlandradio und Archiv konkret beantragt – und sämtliche Stellen haben abgelehnt.</w:t>
      </w:r>
    </w:p>
    <w:p w14:paraId="7C3404A3"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Die Klage stellt deshalb im Kern die Frage:</w:t>
      </w:r>
    </w:p>
    <w:p w14:paraId="72A2E90F"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b/>
          <w:bCs/>
          <w:kern w:val="0"/>
          <w:lang w:eastAsia="de-DE"/>
          <w14:ligatures w14:val="none"/>
        </w:rPr>
        <w:t>Kann einem Beitragspflichtigen weiterhin entgegengehalten werden, er habe den vom Bundesverwaltungsgericht geforderten wissenschaftlich belastbaren Gesamtprogrammnachweis nicht erbracht, wenn er die hierfür konkret benötigten Erkenntniszugänge bei allen praktisch in Betracht kommenden datenhaltenden Stellen beantragt hat, sämtliche Zugänge abgelehnt wurden und ihm kein gleichwertiger, tatsächlich gangbarer Erkenntnisweg eröffnet wurde?</w:t>
      </w:r>
    </w:p>
    <w:p w14:paraId="6ED3CA6D"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Das passt unmittelbar zu eurem Gesamtplan. Dort ist ausdrücklich vorgesehen, nicht erneut über die Programmqualität zu streiten, sondern die </w:t>
      </w:r>
      <w:r w:rsidRPr="008F7D05">
        <w:rPr>
          <w:rFonts w:ascii="Times New Roman" w:eastAsia="Times New Roman" w:hAnsi="Times New Roman" w:cs="Times New Roman"/>
          <w:b/>
          <w:bCs/>
          <w:kern w:val="0"/>
          <w:lang w:eastAsia="de-DE"/>
          <w14:ligatures w14:val="none"/>
        </w:rPr>
        <w:t>praktische Nutzbarkeit des höchstrichterlich eröffneten Rechtsschutzes</w:t>
      </w:r>
      <w:r w:rsidRPr="008F7D05">
        <w:rPr>
          <w:rFonts w:ascii="Times New Roman" w:eastAsia="Times New Roman" w:hAnsi="Times New Roman" w:cs="Times New Roman"/>
          <w:kern w:val="0"/>
          <w:lang w:eastAsia="de-DE"/>
          <w14:ligatures w14:val="none"/>
        </w:rPr>
        <w:t xml:space="preserve"> zum Gegenstand zu machen und die Reaktionen der Gerichte anschließend bundesweit auszuwerten. Genau diese empirische Auswertung – § 86 VwGO behandelt oder nicht, Art. 19 Abs. 4 GG behandelt oder nicht, welche Alternative benennt das Gericht usw. – ist auch im „Leipziger Tatsachensturm“ als nächste Erkenntnisebene vorgesehen.</w:t>
      </w:r>
    </w:p>
    <w:p w14:paraId="4E0999AE" w14:textId="77777777" w:rsidR="008F7D05" w:rsidRPr="008F7D05" w:rsidRDefault="008F7D05" w:rsidP="008F7D0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8F7D05">
        <w:rPr>
          <w:rFonts w:ascii="Times New Roman" w:eastAsia="Times New Roman" w:hAnsi="Times New Roman" w:cs="Times New Roman"/>
          <w:b/>
          <w:bCs/>
          <w:kern w:val="0"/>
          <w:sz w:val="27"/>
          <w:szCs w:val="27"/>
          <w:lang w:eastAsia="de-DE"/>
          <w14:ligatures w14:val="none"/>
        </w:rPr>
        <w:t>Besonders wichtig habe ich fünf Punkte eingebaut</w:t>
      </w:r>
    </w:p>
    <w:p w14:paraId="61597935"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b/>
          <w:bCs/>
          <w:kern w:val="0"/>
          <w:lang w:eastAsia="de-DE"/>
          <w14:ligatures w14:val="none"/>
        </w:rPr>
        <w:t>Erstens:</w:t>
      </w:r>
      <w:r w:rsidRPr="008F7D05">
        <w:rPr>
          <w:rFonts w:ascii="Times New Roman" w:eastAsia="Times New Roman" w:hAnsi="Times New Roman" w:cs="Times New Roman"/>
          <w:kern w:val="0"/>
          <w:lang w:eastAsia="de-DE"/>
          <w14:ligatures w14:val="none"/>
        </w:rPr>
        <w:t xml:space="preserve"> Das alte, verlorene Beitragsverfahren wird nicht verschwiegen oder kleingeredet, sondern bewusst zum Ausgangspunkt gemacht. Die Klage erklärt ausdrücklich: Der Kläger will </w:t>
      </w:r>
      <w:r w:rsidRPr="008F7D05">
        <w:rPr>
          <w:rFonts w:ascii="Times New Roman" w:eastAsia="Times New Roman" w:hAnsi="Times New Roman" w:cs="Times New Roman"/>
          <w:b/>
          <w:bCs/>
          <w:kern w:val="0"/>
          <w:lang w:eastAsia="de-DE"/>
          <w14:ligatures w14:val="none"/>
        </w:rPr>
        <w:t>keine Wiederaufnahme und keine Korrektur des alten Urteils</w:t>
      </w:r>
      <w:r w:rsidRPr="008F7D05">
        <w:rPr>
          <w:rFonts w:ascii="Times New Roman" w:eastAsia="Times New Roman" w:hAnsi="Times New Roman" w:cs="Times New Roman"/>
          <w:kern w:val="0"/>
          <w:lang w:eastAsia="de-DE"/>
          <w14:ligatures w14:val="none"/>
        </w:rPr>
        <w:t>. Das damalige Verfahren dokumentiert vielmehr, an welcher Stelle die tatsächliche Sachprüfung endete. Dafür gibt es einen individuellen Einsetzbereich, in den bei jedem der 51 Kläger nur noch eingetragen wird, wie das jeweilige Gericht mit V-Gutachten, Rundfunkalarm, Kurz-Gutachten, Grundlagenuntersuchung und Beweisanträgen umgegangen ist.</w:t>
      </w:r>
    </w:p>
    <w:p w14:paraId="408BCDA8"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Das ist wichtig wegen § 121 VwGO: Rechtskraft bindet hinsichtlich dessen, worüber im früheren Streitgegenstand entschieden wurde. Die neue Klage baut deshalb bewusst auf einem </w:t>
      </w:r>
      <w:r w:rsidRPr="008F7D05">
        <w:rPr>
          <w:rFonts w:ascii="Times New Roman" w:eastAsia="Times New Roman" w:hAnsi="Times New Roman" w:cs="Times New Roman"/>
          <w:b/>
          <w:bCs/>
          <w:kern w:val="0"/>
          <w:lang w:eastAsia="de-DE"/>
          <w14:ligatures w14:val="none"/>
        </w:rPr>
        <w:t>später entstandenen Sachverhalt</w:t>
      </w:r>
      <w:r w:rsidRPr="008F7D05">
        <w:rPr>
          <w:rFonts w:ascii="Times New Roman" w:eastAsia="Times New Roman" w:hAnsi="Times New Roman" w:cs="Times New Roman"/>
          <w:kern w:val="0"/>
          <w:lang w:eastAsia="de-DE"/>
          <w14:ligatures w14:val="none"/>
        </w:rPr>
        <w:t xml:space="preserve"> auf – den anschließend gestellten und abgelehnten Daten- und Forschungszugangsanträgen. (</w:t>
      </w:r>
      <w:hyperlink r:id="rId6" w:tooltip="§ 121 VwGO - Einzelnorm - Gesetze im Internet" w:history="1">
        <w:r w:rsidRPr="008F7D05">
          <w:rPr>
            <w:rFonts w:ascii="Times New Roman" w:eastAsia="Times New Roman" w:hAnsi="Times New Roman" w:cs="Times New Roman"/>
            <w:color w:val="0000FF"/>
            <w:kern w:val="0"/>
            <w:u w:val="single"/>
            <w:lang w:eastAsia="de-DE"/>
            <w14:ligatures w14:val="none"/>
          </w:rPr>
          <w:t>Gesetze im Internet</w:t>
        </w:r>
      </w:hyperlink>
      <w:r w:rsidRPr="008F7D05">
        <w:rPr>
          <w:rFonts w:ascii="Times New Roman" w:eastAsia="Times New Roman" w:hAnsi="Times New Roman" w:cs="Times New Roman"/>
          <w:kern w:val="0"/>
          <w:lang w:eastAsia="de-DE"/>
          <w14:ligatures w14:val="none"/>
        </w:rPr>
        <w:t>)</w:t>
      </w:r>
    </w:p>
    <w:p w14:paraId="4E5D72FB"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b/>
          <w:bCs/>
          <w:kern w:val="0"/>
          <w:lang w:eastAsia="de-DE"/>
          <w14:ligatures w14:val="none"/>
        </w:rPr>
        <w:t>Zweitens:</w:t>
      </w:r>
      <w:r w:rsidRPr="008F7D05">
        <w:rPr>
          <w:rFonts w:ascii="Times New Roman" w:eastAsia="Times New Roman" w:hAnsi="Times New Roman" w:cs="Times New Roman"/>
          <w:kern w:val="0"/>
          <w:lang w:eastAsia="de-DE"/>
          <w14:ligatures w14:val="none"/>
        </w:rPr>
        <w:t xml:space="preserve"> Die vier Gutachten sind jetzt nicht einfach ein 400-Seiten-Anlagenberg, sondern bekommen jeweils eine klare Funktion. Das V-Gutachten beschreibt die strukturelle Beweisnot. Das Rundfunkalarm-Gutachten behandelt die alternative Kontrollschiene über Programmbeschwerden und Gremien. Das Kurz-Gutachten verbindet den materiellen Prüfungsgegenstand mit der Sachaufklärung. Die Grundlagenuntersuchung ordnet die Informationsasymmetrie prozessrechtlich ein.</w:t>
      </w:r>
    </w:p>
    <w:p w14:paraId="7210F5ED"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lastRenderedPageBreak/>
        <w:t xml:space="preserve">Beim Rundfunkalarm habe ich bewusst seine belastbarere tatsächliche Aussage verwendet: 4.086 Ursprungsvorgänge, 118.627 Teilungen und 3.329 Rundfunkratsinformationen im Rohdatensatz; zugleich ist im untersuchten Material keine nach außen dokumentierte Korrekturwirkung ersichtlich. Damit behauptet die Klage nicht mehr, </w:t>
      </w:r>
      <w:r w:rsidRPr="008F7D05">
        <w:rPr>
          <w:rFonts w:ascii="Times New Roman" w:eastAsia="Times New Roman" w:hAnsi="Times New Roman" w:cs="Times New Roman"/>
          <w:b/>
          <w:bCs/>
          <w:kern w:val="0"/>
          <w:lang w:eastAsia="de-DE"/>
          <w14:ligatures w14:val="none"/>
        </w:rPr>
        <w:t>jede</w:t>
      </w:r>
      <w:r w:rsidRPr="008F7D05">
        <w:rPr>
          <w:rFonts w:ascii="Times New Roman" w:eastAsia="Times New Roman" w:hAnsi="Times New Roman" w:cs="Times New Roman"/>
          <w:kern w:val="0"/>
          <w:lang w:eastAsia="de-DE"/>
          <w14:ligatures w14:val="none"/>
        </w:rPr>
        <w:t xml:space="preserve"> Beschwerde sei berechtigt gewesen. Sie zeigt vielmehr, weshalb ein bloßer Verweis auf diesen Weg die Erkenntnisfrage nicht beantwortet.</w:t>
      </w:r>
    </w:p>
    <w:p w14:paraId="0FB770C6"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b/>
          <w:bCs/>
          <w:kern w:val="0"/>
          <w:lang w:eastAsia="de-DE"/>
          <w14:ligatures w14:val="none"/>
        </w:rPr>
        <w:t>Drittens:</w:t>
      </w:r>
      <w:r w:rsidRPr="008F7D05">
        <w:rPr>
          <w:rFonts w:ascii="Times New Roman" w:eastAsia="Times New Roman" w:hAnsi="Times New Roman" w:cs="Times New Roman"/>
          <w:kern w:val="0"/>
          <w:lang w:eastAsia="de-DE"/>
          <w14:ligatures w14:val="none"/>
        </w:rPr>
        <w:t xml:space="preserve"> Die Aussage des Bundesverwaltungsgerichts, die Substantiierungshürde sei „nicht unüberwindbar“, wird nicht bekämpft – sondern zum Dreh- und Angelpunkt gemacht. Das ist strategisch entscheidend. Das BVerwG verlangt bei einem substantiierten Einwand grundsätzlich eine wissenschaftlich tragfähige Betrachtung des Gesamtprogramms, erklärt aber gleichzeitig, diese Hürde sei für einen Kläger nicht unüberwindbar. (</w:t>
      </w:r>
      <w:hyperlink r:id="rId7" w:tooltip="BVerwG 6 C 5.24, Urteil vom 15. Oktober 2025 | Bundesverwaltungsgericht" w:history="1">
        <w:r w:rsidRPr="008F7D05">
          <w:rPr>
            <w:rFonts w:ascii="Times New Roman" w:eastAsia="Times New Roman" w:hAnsi="Times New Roman" w:cs="Times New Roman"/>
            <w:color w:val="0000FF"/>
            <w:kern w:val="0"/>
            <w:u w:val="single"/>
            <w:lang w:eastAsia="de-DE"/>
            <w14:ligatures w14:val="none"/>
          </w:rPr>
          <w:t>Bundesverwaltungsgericht</w:t>
        </w:r>
      </w:hyperlink>
      <w:r w:rsidRPr="008F7D05">
        <w:rPr>
          <w:rFonts w:ascii="Times New Roman" w:eastAsia="Times New Roman" w:hAnsi="Times New Roman" w:cs="Times New Roman"/>
          <w:kern w:val="0"/>
          <w:lang w:eastAsia="de-DE"/>
          <w14:ligatures w14:val="none"/>
        </w:rPr>
        <w:t>)</w:t>
      </w:r>
    </w:p>
    <w:p w14:paraId="0B6E1029"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Die Klage sagt deshalb sinngemäß:</w:t>
      </w:r>
    </w:p>
    <w:p w14:paraId="186E992A"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b/>
          <w:bCs/>
          <w:kern w:val="0"/>
          <w:lang w:eastAsia="de-DE"/>
          <w14:ligatures w14:val="none"/>
        </w:rPr>
        <w:t>Gut. Dann hat der Kläger die Überwindbarkeit praktisch erprobt. Nun muss geklärt werden, wie die Hürde tatsächlich überwunden werden soll.</w:t>
      </w:r>
    </w:p>
    <w:p w14:paraId="65F6906F"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Das halte ich für eine viel stärkere Position als zu behaupten, das Bundesverwaltungsgericht habe sich geirrt.</w:t>
      </w:r>
    </w:p>
    <w:p w14:paraId="3F0FEAA9"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b/>
          <w:bCs/>
          <w:kern w:val="0"/>
          <w:lang w:eastAsia="de-DE"/>
          <w14:ligatures w14:val="none"/>
        </w:rPr>
        <w:t>Viertens:</w:t>
      </w:r>
      <w:r w:rsidRPr="008F7D05">
        <w:rPr>
          <w:rFonts w:ascii="Times New Roman" w:eastAsia="Times New Roman" w:hAnsi="Times New Roman" w:cs="Times New Roman"/>
          <w:kern w:val="0"/>
          <w:lang w:eastAsia="de-DE"/>
          <w14:ligatures w14:val="none"/>
        </w:rPr>
        <w:t xml:space="preserve"> Ich habe die zwei wahrscheinlichsten Zulässigkeitsangriffe ausdrücklich abgefangen: </w:t>
      </w:r>
      <w:r w:rsidRPr="008F7D05">
        <w:rPr>
          <w:rFonts w:ascii="Times New Roman" w:eastAsia="Times New Roman" w:hAnsi="Times New Roman" w:cs="Times New Roman"/>
          <w:b/>
          <w:bCs/>
          <w:kern w:val="0"/>
          <w:lang w:eastAsia="de-DE"/>
          <w14:ligatures w14:val="none"/>
        </w:rPr>
        <w:t>Rechtskraft</w:t>
      </w:r>
      <w:r w:rsidRPr="008F7D05">
        <w:rPr>
          <w:rFonts w:ascii="Times New Roman" w:eastAsia="Times New Roman" w:hAnsi="Times New Roman" w:cs="Times New Roman"/>
          <w:kern w:val="0"/>
          <w:lang w:eastAsia="de-DE"/>
          <w14:ligatures w14:val="none"/>
        </w:rPr>
        <w:t xml:space="preserve"> und </w:t>
      </w:r>
      <w:r w:rsidRPr="008F7D05">
        <w:rPr>
          <w:rFonts w:ascii="Times New Roman" w:eastAsia="Times New Roman" w:hAnsi="Times New Roman" w:cs="Times New Roman"/>
          <w:b/>
          <w:bCs/>
          <w:kern w:val="0"/>
          <w:lang w:eastAsia="de-DE"/>
          <w14:ligatures w14:val="none"/>
        </w:rPr>
        <w:t>Subsidiarität der Feststellungsklage</w:t>
      </w:r>
      <w:r w:rsidRPr="008F7D05">
        <w:rPr>
          <w:rFonts w:ascii="Times New Roman" w:eastAsia="Times New Roman" w:hAnsi="Times New Roman" w:cs="Times New Roman"/>
          <w:kern w:val="0"/>
          <w:lang w:eastAsia="de-DE"/>
          <w14:ligatures w14:val="none"/>
        </w:rPr>
        <w:t>.</w:t>
      </w:r>
    </w:p>
    <w:p w14:paraId="60AA244B"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43 VwGO verlangt ein konkretes Rechtsverhältnis und ein berechtigtes Interesse und sieht grundsätzlich einen Vorrang von Leistungs- oder Gestaltungsklagen vor. (</w:t>
      </w:r>
      <w:hyperlink r:id="rId8" w:tooltip="§ 43 VwGO - Einzelnorm - Gesetze im Internet" w:history="1">
        <w:r w:rsidRPr="008F7D05">
          <w:rPr>
            <w:rFonts w:ascii="Times New Roman" w:eastAsia="Times New Roman" w:hAnsi="Times New Roman" w:cs="Times New Roman"/>
            <w:color w:val="0000FF"/>
            <w:kern w:val="0"/>
            <w:u w:val="single"/>
            <w:lang w:eastAsia="de-DE"/>
            <w14:ligatures w14:val="none"/>
          </w:rPr>
          <w:t>Gesetze im Internet</w:t>
        </w:r>
      </w:hyperlink>
      <w:r w:rsidRPr="008F7D05">
        <w:rPr>
          <w:rFonts w:ascii="Times New Roman" w:eastAsia="Times New Roman" w:hAnsi="Times New Roman" w:cs="Times New Roman"/>
          <w:kern w:val="0"/>
          <w:lang w:eastAsia="de-DE"/>
          <w14:ligatures w14:val="none"/>
        </w:rPr>
        <w:t>) Deshalb erklärt die Klage ausführlich, warum der Streit nicht nur lautet „Gebt mir Datei X“, sondern welche rechtliche Folge die bereits erfolgte umfassende Verweigerung für die weitere Substantiierung im Beitragsrechtsverhältnis hat. Ein isolierter Leistungsanspruch gegen eine einzelne Stelle beantwortet diese Frage nicht.</w:t>
      </w:r>
    </w:p>
    <w:p w14:paraId="7A3F3559"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b/>
          <w:bCs/>
          <w:kern w:val="0"/>
          <w:lang w:eastAsia="de-DE"/>
          <w14:ligatures w14:val="none"/>
        </w:rPr>
        <w:t>Fünftens:</w:t>
      </w:r>
      <w:r w:rsidRPr="008F7D05">
        <w:rPr>
          <w:rFonts w:ascii="Times New Roman" w:eastAsia="Times New Roman" w:hAnsi="Times New Roman" w:cs="Times New Roman"/>
          <w:kern w:val="0"/>
          <w:lang w:eastAsia="de-DE"/>
          <w14:ligatures w14:val="none"/>
        </w:rPr>
        <w:t xml:space="preserve"> Ich habe die Klage bewusst so angelegt, dass auch eine Abweisung für das Gesamtprojekt verwertbare Erkenntnisse erzeugt. Das Gericht wird im Ergebnis Stellung beziehen müssen zu Fragen wie:</w:t>
      </w:r>
    </w:p>
    <w:p w14:paraId="65EE8AF2" w14:textId="77777777" w:rsidR="008F7D05" w:rsidRPr="008F7D05" w:rsidRDefault="008F7D05" w:rsidP="008F7D0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Ist der verlangte wissenschaftliche Nachweis ohne die beantragten Zugänge tatsächlich möglich?</w:t>
      </w:r>
    </w:p>
    <w:p w14:paraId="0B554A3F" w14:textId="77777777" w:rsidR="008F7D05" w:rsidRPr="008F7D05" w:rsidRDefault="008F7D05" w:rsidP="008F7D0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Falls ja: </w:t>
      </w:r>
      <w:r w:rsidRPr="008F7D05">
        <w:rPr>
          <w:rFonts w:ascii="Times New Roman" w:eastAsia="Times New Roman" w:hAnsi="Times New Roman" w:cs="Times New Roman"/>
          <w:b/>
          <w:bCs/>
          <w:kern w:val="0"/>
          <w:lang w:eastAsia="de-DE"/>
          <w14:ligatures w14:val="none"/>
        </w:rPr>
        <w:t>auf welchem konkreten Weg?</w:t>
      </w:r>
    </w:p>
    <w:p w14:paraId="620E0EAE" w14:textId="77777777" w:rsidR="008F7D05" w:rsidRPr="008F7D05" w:rsidRDefault="008F7D05" w:rsidP="008F7D0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Welche allgemein zugängliche Datengrundlage ersetzt Archive, Transkripte, Untertitel und Metadaten?</w:t>
      </w:r>
    </w:p>
    <w:p w14:paraId="5056011A" w14:textId="77777777" w:rsidR="008F7D05" w:rsidRPr="008F7D05" w:rsidRDefault="008F7D05" w:rsidP="008F7D0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Welche Bedeutung hat die vorherige Ablehnung durch sämtliche angefragten Stellen?</w:t>
      </w:r>
    </w:p>
    <w:p w14:paraId="0E751EC3" w14:textId="77777777" w:rsidR="008F7D05" w:rsidRPr="008F7D05" w:rsidRDefault="008F7D05" w:rsidP="008F7D0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Welche Rolle spielt § 86 VwGO?</w:t>
      </w:r>
    </w:p>
    <w:p w14:paraId="3E29C9ED" w14:textId="77777777" w:rsidR="008F7D05" w:rsidRPr="008F7D05" w:rsidRDefault="008F7D05" w:rsidP="008F7D0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Welche Bedeutung besitzt Art. 19 Abs. 4 GG?</w:t>
      </w:r>
    </w:p>
    <w:p w14:paraId="64344D95" w14:textId="77777777" w:rsidR="008F7D05" w:rsidRPr="008F7D05" w:rsidRDefault="008F7D05" w:rsidP="008F7D0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Kann das frühere Scheitern des Beitragsverfahrens einfach erneut gegen den Kläger verwendet werden?</w:t>
      </w:r>
    </w:p>
    <w:p w14:paraId="459127B8"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Damit wird aus jedem Verfahren tatsächlich ein Messpunkt für den späteren bundesweiten Datensatz. Das entspricht genau dem Projektgedanken, nicht nur Urteile zu sammeln, sondern </w:t>
      </w:r>
      <w:r w:rsidRPr="008F7D05">
        <w:rPr>
          <w:rFonts w:ascii="Times New Roman" w:eastAsia="Times New Roman" w:hAnsi="Times New Roman" w:cs="Times New Roman"/>
          <w:b/>
          <w:bCs/>
          <w:kern w:val="0"/>
          <w:lang w:eastAsia="de-DE"/>
          <w14:ligatures w14:val="none"/>
        </w:rPr>
        <w:t>gerichtliche Rechtsschutzpraxis empirisch zu dokumentieren</w:t>
      </w:r>
      <w:r w:rsidRPr="008F7D05">
        <w:rPr>
          <w:rFonts w:ascii="Times New Roman" w:eastAsia="Times New Roman" w:hAnsi="Times New Roman" w:cs="Times New Roman"/>
          <w:kern w:val="0"/>
          <w:lang w:eastAsia="de-DE"/>
          <w14:ligatures w14:val="none"/>
        </w:rPr>
        <w:t>.</w:t>
      </w:r>
    </w:p>
    <w:p w14:paraId="6CAD8878" w14:textId="77777777" w:rsidR="008F7D05" w:rsidRPr="008F7D05" w:rsidRDefault="008F7D05" w:rsidP="008F7D0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8F7D05">
        <w:rPr>
          <w:rFonts w:ascii="Times New Roman" w:eastAsia="Times New Roman" w:hAnsi="Times New Roman" w:cs="Times New Roman"/>
          <w:b/>
          <w:bCs/>
          <w:kern w:val="0"/>
          <w:sz w:val="27"/>
          <w:szCs w:val="27"/>
          <w:lang w:eastAsia="de-DE"/>
          <w14:ligatures w14:val="none"/>
        </w:rPr>
        <w:lastRenderedPageBreak/>
        <w:t>Auch die Beweisseite ist jetzt deutlich umfangreicher</w:t>
      </w:r>
    </w:p>
    <w:p w14:paraId="58596080"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Die Klage regt unter anderem die Beiziehung des alten Beitragsverfahrens an, legt sämtliche vier Gutachten erneut vor, dokumentiert alle vier Zugangswege samt Ablehnungen und regt gerichtliche Aufklärung darüber an, welche Daten tatsächlich vorhanden sind, welche Zugangsformen bestanden hätten und weshalb auch Pilot-, Präsenz- oder geschützte Zugänge verweigert wurden.</w:t>
      </w:r>
    </w:p>
    <w:p w14:paraId="77D7E08B"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Das passt auch zur Grundlagenuntersuchung: Sie behauptet ausdrücklich </w:t>
      </w:r>
      <w:r w:rsidRPr="008F7D05">
        <w:rPr>
          <w:rFonts w:ascii="Times New Roman" w:eastAsia="Times New Roman" w:hAnsi="Times New Roman" w:cs="Times New Roman"/>
          <w:b/>
          <w:bCs/>
          <w:kern w:val="0"/>
          <w:lang w:eastAsia="de-DE"/>
          <w14:ligatures w14:val="none"/>
        </w:rPr>
        <w:t>keine neue Beweisregel und keine automatische Beweislastumkehr</w:t>
      </w:r>
      <w:r w:rsidRPr="008F7D05">
        <w:rPr>
          <w:rFonts w:ascii="Times New Roman" w:eastAsia="Times New Roman" w:hAnsi="Times New Roman" w:cs="Times New Roman"/>
          <w:kern w:val="0"/>
          <w:lang w:eastAsia="de-DE"/>
          <w14:ligatures w14:val="none"/>
        </w:rPr>
        <w:t>. Ihr Ansatz ist vielmehr, dass Amtsermittlung, Mitwirkung entsprechend der jeweiligen Erkenntnismöglichkeiten und wissenschaftliche Rekonstruktion zusammenwirken müssen. Genau so habe ich es in der Klage formuliert.</w:t>
      </w:r>
    </w:p>
    <w:p w14:paraId="2FCE30BA"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Am Ende enthält das Dokument ein vollständiges </w:t>
      </w:r>
      <w:r w:rsidRPr="008F7D05">
        <w:rPr>
          <w:rFonts w:ascii="Times New Roman" w:eastAsia="Times New Roman" w:hAnsi="Times New Roman" w:cs="Times New Roman"/>
          <w:b/>
          <w:bCs/>
          <w:kern w:val="0"/>
          <w:lang w:eastAsia="de-DE"/>
          <w14:ligatures w14:val="none"/>
        </w:rPr>
        <w:t>Anlagenverzeichnis K1–K16</w:t>
      </w:r>
      <w:r w:rsidRPr="008F7D05">
        <w:rPr>
          <w:rFonts w:ascii="Times New Roman" w:eastAsia="Times New Roman" w:hAnsi="Times New Roman" w:cs="Times New Roman"/>
          <w:kern w:val="0"/>
          <w:lang w:eastAsia="de-DE"/>
          <w14:ligatures w14:val="none"/>
        </w:rPr>
        <w:t>, vom alten Urteil über die vier Gutachten bis zu sämtlichen neuen Anträgen, Ablehnungen und einer optionalen Übersicht der Parallelverfahren.</w:t>
      </w:r>
    </w:p>
    <w:p w14:paraId="14302F8E" w14:textId="77777777" w:rsidR="008F7D05" w:rsidRPr="008F7D05" w:rsidRDefault="008F7D05" w:rsidP="008F7D05">
      <w:pPr>
        <w:spacing w:before="100" w:beforeAutospacing="1" w:after="100" w:afterAutospacing="1"/>
        <w:rPr>
          <w:rFonts w:ascii="Times New Roman" w:eastAsia="Times New Roman" w:hAnsi="Times New Roman" w:cs="Times New Roman"/>
          <w:kern w:val="0"/>
          <w:lang w:eastAsia="de-DE"/>
          <w14:ligatures w14:val="none"/>
        </w:rPr>
      </w:pPr>
      <w:r w:rsidRPr="008F7D05">
        <w:rPr>
          <w:rFonts w:ascii="Times New Roman" w:eastAsia="Times New Roman" w:hAnsi="Times New Roman" w:cs="Times New Roman"/>
          <w:kern w:val="0"/>
          <w:lang w:eastAsia="de-DE"/>
          <w14:ligatures w14:val="none"/>
        </w:rPr>
        <w:t xml:space="preserve">Die Klage ist jetzt </w:t>
      </w:r>
      <w:r w:rsidRPr="008F7D05">
        <w:rPr>
          <w:rFonts w:ascii="Times New Roman" w:eastAsia="Times New Roman" w:hAnsi="Times New Roman" w:cs="Times New Roman"/>
          <w:b/>
          <w:bCs/>
          <w:kern w:val="0"/>
          <w:lang w:eastAsia="de-DE"/>
          <w14:ligatures w14:val="none"/>
        </w:rPr>
        <w:t>13 Seiten Kerntext plus Anlagenverzeichnis</w:t>
      </w:r>
      <w:r w:rsidRPr="008F7D05">
        <w:rPr>
          <w:rFonts w:ascii="Times New Roman" w:eastAsia="Times New Roman" w:hAnsi="Times New Roman" w:cs="Times New Roman"/>
          <w:kern w:val="0"/>
          <w:lang w:eastAsia="de-DE"/>
          <w14:ligatures w14:val="none"/>
        </w:rPr>
        <w:t xml:space="preserve"> und bewusst so gebaut, dass für jeden der 51 Kläger im Wesentlichen nur Rubrum, Aktenzeichen, Daten des Altverfahrens und der Ablehnungsschreiben sowie wenige individuelle Absätze eingesetzt werden müssen.</w:t>
      </w:r>
    </w:p>
    <w:p w14:paraId="0C3B77A0"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850779"/>
    <w:multiLevelType w:val="multilevel"/>
    <w:tmpl w:val="A5C6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29795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05"/>
    <w:rsid w:val="00017A87"/>
    <w:rsid w:val="001F5050"/>
    <w:rsid w:val="00331A61"/>
    <w:rsid w:val="003646BB"/>
    <w:rsid w:val="00383614"/>
    <w:rsid w:val="003C17E5"/>
    <w:rsid w:val="003F40FE"/>
    <w:rsid w:val="00731D20"/>
    <w:rsid w:val="007A720F"/>
    <w:rsid w:val="007A7DCB"/>
    <w:rsid w:val="00813DAF"/>
    <w:rsid w:val="008D5A46"/>
    <w:rsid w:val="008F7D05"/>
    <w:rsid w:val="009652BE"/>
    <w:rsid w:val="009F355A"/>
    <w:rsid w:val="00A11C70"/>
    <w:rsid w:val="00A43773"/>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8E683EF"/>
  <w15:chartTrackingRefBased/>
  <w15:docId w15:val="{49D06EFE-1B8C-8C41-92AA-02B944DB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F7D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F7D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8F7D0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F7D0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F7D0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F7D0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F7D0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F7D0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F7D0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F7D0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F7D0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8F7D0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F7D0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F7D0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F7D0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F7D0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F7D0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F7D05"/>
    <w:rPr>
      <w:rFonts w:eastAsiaTheme="majorEastAsia" w:cstheme="majorBidi"/>
      <w:color w:val="272727" w:themeColor="text1" w:themeTint="D8"/>
    </w:rPr>
  </w:style>
  <w:style w:type="paragraph" w:styleId="Titel">
    <w:name w:val="Title"/>
    <w:basedOn w:val="Standard"/>
    <w:next w:val="Standard"/>
    <w:link w:val="TitelZchn"/>
    <w:uiPriority w:val="10"/>
    <w:qFormat/>
    <w:rsid w:val="008F7D0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F7D0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F7D05"/>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F7D0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F7D0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F7D05"/>
    <w:rPr>
      <w:i/>
      <w:iCs/>
      <w:color w:val="404040" w:themeColor="text1" w:themeTint="BF"/>
    </w:rPr>
  </w:style>
  <w:style w:type="paragraph" w:styleId="Listenabsatz">
    <w:name w:val="List Paragraph"/>
    <w:basedOn w:val="Standard"/>
    <w:uiPriority w:val="34"/>
    <w:qFormat/>
    <w:rsid w:val="008F7D05"/>
    <w:pPr>
      <w:ind w:left="720"/>
      <w:contextualSpacing/>
    </w:pPr>
  </w:style>
  <w:style w:type="character" w:styleId="IntensiveHervorhebung">
    <w:name w:val="Intense Emphasis"/>
    <w:basedOn w:val="Absatz-Standardschriftart"/>
    <w:uiPriority w:val="21"/>
    <w:qFormat/>
    <w:rsid w:val="008F7D05"/>
    <w:rPr>
      <w:i/>
      <w:iCs/>
      <w:color w:val="2F5496" w:themeColor="accent1" w:themeShade="BF"/>
    </w:rPr>
  </w:style>
  <w:style w:type="paragraph" w:styleId="IntensivesZitat">
    <w:name w:val="Intense Quote"/>
    <w:basedOn w:val="Standard"/>
    <w:next w:val="Standard"/>
    <w:link w:val="IntensivesZitatZchn"/>
    <w:uiPriority w:val="30"/>
    <w:qFormat/>
    <w:rsid w:val="008F7D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F7D05"/>
    <w:rPr>
      <w:i/>
      <w:iCs/>
      <w:color w:val="2F5496" w:themeColor="accent1" w:themeShade="BF"/>
    </w:rPr>
  </w:style>
  <w:style w:type="character" w:styleId="IntensiverVerweis">
    <w:name w:val="Intense Reference"/>
    <w:basedOn w:val="Absatz-Standardschriftart"/>
    <w:uiPriority w:val="32"/>
    <w:qFormat/>
    <w:rsid w:val="008F7D05"/>
    <w:rPr>
      <w:b/>
      <w:bCs/>
      <w:smallCaps/>
      <w:color w:val="2F5496" w:themeColor="accent1" w:themeShade="BF"/>
      <w:spacing w:val="5"/>
    </w:rPr>
  </w:style>
  <w:style w:type="paragraph" w:styleId="StandardWeb">
    <w:name w:val="Normal (Web)"/>
    <w:basedOn w:val="Standard"/>
    <w:uiPriority w:val="99"/>
    <w:semiHidden/>
    <w:unhideWhenUsed/>
    <w:rsid w:val="008F7D05"/>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8F7D05"/>
    <w:rPr>
      <w:b/>
      <w:bCs/>
    </w:rPr>
  </w:style>
  <w:style w:type="character" w:styleId="Hyperlink">
    <w:name w:val="Hyperlink"/>
    <w:basedOn w:val="Absatz-Standardschriftart"/>
    <w:uiPriority w:val="99"/>
    <w:semiHidden/>
    <w:unhideWhenUsed/>
    <w:rsid w:val="008F7D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setze-im-internet.de/vwgo/__43.html?utm_source=chatgpt.com" TargetMode="External"/><Relationship Id="rId3" Type="http://schemas.openxmlformats.org/officeDocument/2006/relationships/settings" Target="settings.xml"/><Relationship Id="rId7" Type="http://schemas.openxmlformats.org/officeDocument/2006/relationships/hyperlink" Target="https://www.bverwg.de/151025U6C5.2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setze-im-internet.de/vwgo/__121.html?utm_source=chatgpt.com" TargetMode="External"/><Relationship Id="rId5" Type="http://schemas.openxmlformats.org/officeDocument/2006/relationships/hyperlink" Target="sandbox://mnt/data/Muster_Feststellungsklage_effektiver_Rechtsschutz_Rundfunkbeitrag.doc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1058</Words>
  <Characters>6667</Characters>
  <Application>Microsoft Office Word</Application>
  <DocSecurity>0</DocSecurity>
  <Lines>55</Lines>
  <Paragraphs>15</Paragraphs>
  <ScaleCrop>false</ScaleCrop>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2026-08-08T21:03:00Z</dcterms:created>
  <dcterms:modified xsi:type="dcterms:W3CDTF">2026-08-08T21:03:00Z</dcterms:modified>
</cp:coreProperties>
</file>