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sz w:val="23"/>
        </w:rPr>
        <w:t>An das</w:t>
        <w:br/>
        <w:t>Verwaltungsgericht [Ort]</w:t>
        <w:br/>
        <w:t>[Anschrift]</w:t>
      </w:r>
    </w:p>
    <w:p>
      <w:pPr>
        <w:jc w:val="center"/>
      </w:pPr>
      <w:r>
        <w:rPr>
          <w:rFonts w:ascii="Times New Roman" w:hAnsi="Times New Roman"/>
          <w:b/>
          <w:sz w:val="30"/>
        </w:rPr>
        <w:t>KLAGE</w:t>
      </w:r>
    </w:p>
    <w:p>
      <w:pPr>
        <w:jc w:val="center"/>
      </w:pPr>
      <w:r>
        <w:rPr>
          <w:rFonts w:ascii="Times New Roman" w:hAnsi="Times New Roman"/>
          <w:b/>
          <w:sz w:val="25"/>
        </w:rPr>
        <w:t>Feststellungsklage nach § 43 Abs. 1 VwGO</w:t>
      </w:r>
    </w:p>
    <w:p>
      <w:pPr>
        <w:jc w:val="center"/>
      </w:pPr>
      <w:r>
        <w:rPr>
          <w:rFonts w:ascii="Times New Roman" w:hAnsi="Times New Roman"/>
          <w:sz w:val="23"/>
        </w:rPr>
        <w:t>wegen der praktischen Durchführbarkeit des vom Bundesverwaltungsgericht eröffneten programmbasierten Einwands gegen die Rundfunkbeitragspflicht</w:t>
      </w:r>
    </w:p>
    <w:p>
      <w:pPr>
        <w:pStyle w:val="Rubrum"/>
        <w:jc w:val="center"/>
      </w:pPr>
      <w:r>
        <w:rPr>
          <w:rFonts w:ascii="Times New Roman" w:hAnsi="Times New Roman"/>
          <w:sz w:val="23"/>
        </w:rPr>
        <w:t>[Vorname Nachname]</w:t>
      </w:r>
    </w:p>
    <w:p>
      <w:pPr>
        <w:pStyle w:val="Rubrum"/>
        <w:jc w:val="center"/>
      </w:pPr>
      <w:r>
        <w:rPr>
          <w:rFonts w:ascii="Times New Roman" w:hAnsi="Times New Roman"/>
          <w:sz w:val="23"/>
        </w:rPr>
        <w:t>[Anschrift]</w:t>
      </w:r>
    </w:p>
    <w:p>
      <w:pPr>
        <w:pStyle w:val="Rubrum"/>
        <w:jc w:val="center"/>
      </w:pPr>
      <w:r>
        <w:rPr>
          <w:rFonts w:ascii="Times New Roman" w:hAnsi="Times New Roman"/>
          <w:sz w:val="23"/>
        </w:rPr>
        <w:t>[E-Mail, optional]</w:t>
      </w:r>
    </w:p>
    <w:p>
      <w:pPr>
        <w:pStyle w:val="Rubrum"/>
        <w:jc w:val="center"/>
      </w:pPr>
      <w:r>
        <w:rPr>
          <w:rFonts w:ascii="Times New Roman" w:hAnsi="Times New Roman"/>
          <w:sz w:val="23"/>
        </w:rPr>
        <w:t>[Beitragsnummer]</w:t>
      </w:r>
    </w:p>
    <w:p>
      <w:pPr>
        <w:pStyle w:val="Rubrum"/>
        <w:jc w:val="center"/>
      </w:pPr>
      <w:r>
        <w:rPr>
          <w:rFonts w:ascii="Times New Roman" w:hAnsi="Times New Roman"/>
          <w:b/>
          <w:sz w:val="23"/>
        </w:rPr>
        <w:t>– Kläger –</w:t>
      </w:r>
    </w:p>
    <w:p>
      <w:pPr>
        <w:pStyle w:val="Rubrum"/>
        <w:jc w:val="center"/>
      </w:pPr>
      <w:r>
        <w:rPr>
          <w:rFonts w:ascii="Times New Roman" w:hAnsi="Times New Roman"/>
          <w:sz w:val="23"/>
        </w:rPr>
      </w:r>
    </w:p>
    <w:p>
      <w:pPr>
        <w:pStyle w:val="Rubrum"/>
        <w:jc w:val="center"/>
      </w:pPr>
      <w:r>
        <w:rPr>
          <w:rFonts w:ascii="Times New Roman" w:hAnsi="Times New Roman"/>
          <w:b/>
          <w:sz w:val="23"/>
        </w:rPr>
        <w:t>gegen</w:t>
      </w:r>
    </w:p>
    <w:p>
      <w:pPr>
        <w:pStyle w:val="Rubrum"/>
        <w:jc w:val="center"/>
      </w:pPr>
      <w:r>
        <w:rPr>
          <w:rFonts w:ascii="Times New Roman" w:hAnsi="Times New Roman"/>
          <w:sz w:val="23"/>
        </w:rPr>
      </w:r>
    </w:p>
    <w:p>
      <w:pPr>
        <w:pStyle w:val="Rubrum"/>
        <w:jc w:val="center"/>
      </w:pPr>
      <w:r>
        <w:rPr>
          <w:rFonts w:ascii="Times New Roman" w:hAnsi="Times New Roman"/>
          <w:sz w:val="23"/>
        </w:rPr>
        <w:t>[zuständige Landesrundfunkanstalt]</w:t>
      </w:r>
    </w:p>
    <w:p>
      <w:pPr>
        <w:pStyle w:val="Rubrum"/>
        <w:jc w:val="center"/>
      </w:pPr>
      <w:r>
        <w:rPr>
          <w:rFonts w:ascii="Times New Roman" w:hAnsi="Times New Roman"/>
          <w:sz w:val="23"/>
        </w:rPr>
        <w:t>vertreten durch die Intendantin / den Intendanten</w:t>
      </w:r>
    </w:p>
    <w:p>
      <w:pPr>
        <w:pStyle w:val="Rubrum"/>
        <w:jc w:val="center"/>
      </w:pPr>
      <w:r>
        <w:rPr>
          <w:rFonts w:ascii="Times New Roman" w:hAnsi="Times New Roman"/>
          <w:sz w:val="23"/>
        </w:rPr>
        <w:t>[Anschrift]</w:t>
      </w:r>
    </w:p>
    <w:p>
      <w:pPr>
        <w:pStyle w:val="Rubrum"/>
        <w:jc w:val="center"/>
      </w:pPr>
      <w:r>
        <w:rPr>
          <w:rFonts w:ascii="Times New Roman" w:hAnsi="Times New Roman"/>
          <w:b/>
          <w:sz w:val="23"/>
        </w:rPr>
        <w:t>– Beklagte –</w:t>
      </w:r>
    </w:p>
    <w:p>
      <w:pPr>
        <w:jc w:val="both"/>
      </w:pPr>
      <w:r>
        <w:rPr>
          <w:rFonts w:ascii="Times New Roman" w:hAnsi="Times New Roman"/>
          <w:b w:val="0"/>
          <w:i w:val="0"/>
          <w:sz w:val="23"/>
        </w:rPr>
        <w:t>Der Kläger erhebt Feststellungsklage. Gegenstand dieses Verfahrens ist ausdrücklich nicht die erneute Überprüfung des bereits rechtskräftig abgeschlossenen Beitragsverfahrens und auch nicht die unmittelbare Feststellung einer materiellen Programmverfassungswidrigkeit. Streitgegenstand ist allein die vorgelagerte Frage, welche rechtliche Bedeutung es im beitragsrechtlichen Rechtsverhältnis hat, wenn ein Beitragspflichtiger den vom Bundesverwaltungsgericht im Urteil vom 15. Oktober 2025 – 6 C 5.24 – eröffneten Einwand nur aufgrund einer wissenschaftlich belastbaren Gesamtanalyse verfolgen kann, ihm die hierfür konkret beantragten Erkenntnisgrundlagen jedoch von sämtlichen hierfür in Betracht kommenden öffentlich-rechtlichen Stellen verweigert werden.</w:t>
      </w:r>
    </w:p>
    <w:p>
      <w:pPr>
        <w:pStyle w:val="Heading1"/>
        <w:keepNext/>
        <w:ind w:firstLine="0"/>
      </w:pPr>
      <w:r>
        <w:t>Anträge</w:t>
      </w:r>
    </w:p>
    <w:p>
      <w:pPr>
        <w:jc w:val="both"/>
      </w:pPr>
      <w:r>
        <w:rPr>
          <w:rFonts w:ascii="Times New Roman" w:hAnsi="Times New Roman"/>
          <w:b w:val="0"/>
          <w:i w:val="0"/>
          <w:sz w:val="23"/>
        </w:rPr>
        <w:t>Es wird beantragt,</w:t>
      </w:r>
    </w:p>
    <w:p>
      <w:pPr>
        <w:spacing w:after="120"/>
        <w:ind w:left="397" w:hanging="397"/>
        <w:jc w:val="both"/>
      </w:pPr>
      <w:r>
        <w:rPr>
          <w:rFonts w:ascii="Times New Roman" w:hAnsi="Times New Roman"/>
          <w:b/>
          <w:sz w:val="23"/>
        </w:rPr>
        <w:t xml:space="preserve">1. </w:t>
      </w:r>
      <w:r>
        <w:rPr>
          <w:rFonts w:ascii="Times New Roman" w:hAnsi="Times New Roman"/>
          <w:sz w:val="23"/>
        </w:rPr>
        <w:t>festzustellen, dass die Beklagte dem Kläger im zwischen den Beteiligten bestehenden beitragsrechtlichen Rechtsverhältnis eine fehlende oder unzureichende wissenschaftliche Substantiierung eines Einwands im Sinne des Urteils des Bundesverwaltungsgerichts vom 15.10.2025 – 6 C 5.24 – nicht entgegenhalten darf, soweit der Kläger die für eine wissenschaftlich belastbare Überprüfung konkret bezeichneten Programmbestände, Transkripte, Untertitel-, Identifikations-, Zeit-, Segmentierungs- und Erschließungsdaten sowie wissenschaftlichen Archivzugänge bei der Beklagten, beim ZDF, bei Deutschlandradio und beim zuständigen Rundfunkarchiv beantragt hat, diese Zugänge im Ergebnis verweigert wurden und dem Kläger kein tatsächlich geeigneter, zumutbarer und reproduzierbarer alternativer Erkenntnisweg zur Verfügung steht;</w:t>
      </w:r>
    </w:p>
    <w:p>
      <w:pPr>
        <w:spacing w:after="120"/>
        <w:ind w:left="397" w:hanging="397"/>
        <w:jc w:val="both"/>
      </w:pPr>
      <w:r>
        <w:rPr>
          <w:rFonts w:ascii="Times New Roman" w:hAnsi="Times New Roman"/>
          <w:b/>
          <w:sz w:val="23"/>
        </w:rPr>
        <w:t xml:space="preserve">2. </w:t>
      </w:r>
      <w:r>
        <w:rPr>
          <w:rFonts w:ascii="Times New Roman" w:hAnsi="Times New Roman"/>
          <w:sz w:val="23"/>
        </w:rPr>
        <w:t>hilfsweise festzustellen, dass die Beklagte im beitragsrechtlichen Rechtsverhältnis verpflichtet ist, bei der Beurteilung der Anforderungen an einen substantiierten programmbasierten Einwand zu berücksichtigen, dass dem Kläger die von ihm konkret beantragten Erkenntnisgrundlagen nicht zugänglich gemacht wurden, und dass der Einwand nicht allein wegen des Fehlens eines wissenschaftlichen Vollnachweises zurückgewiesen werden darf, ohne zuvor zu klären, ob ein solcher Nachweis unter den tatsächlich bestehenden Zugangsbedingungen mit zumutbaren Mitteln überhaupt erbracht werden kann;</w:t>
      </w:r>
    </w:p>
    <w:p>
      <w:pPr>
        <w:spacing w:after="120"/>
        <w:ind w:left="397" w:hanging="397"/>
        <w:jc w:val="both"/>
      </w:pPr>
      <w:r>
        <w:rPr>
          <w:rFonts w:ascii="Times New Roman" w:hAnsi="Times New Roman"/>
          <w:b/>
          <w:sz w:val="23"/>
        </w:rPr>
        <w:t xml:space="preserve">3. </w:t>
      </w:r>
      <w:r>
        <w:rPr>
          <w:rFonts w:ascii="Times New Roman" w:hAnsi="Times New Roman"/>
          <w:sz w:val="23"/>
        </w:rPr>
        <w:t>weiter hilfsweise festzustellen, dass die Beklagte sich gegenüber dem Kläger nicht gleichzeitig auf die vom Bundesverwaltungsgericht beschriebene hohe wissenschaftliche Substantiierungsschwelle berufen und zugleich die in ihrer eigenen Verfügungs- oder Erkenntnissphäre vorhandenen, hierfür konkret beantragten und tatsächlich verfügbaren Erkenntnisgrundlagen pauschal verweigern darf, ohne einen praktisch gleichwertigen alternativen Erkenntnisweg zu benennen;</w:t>
      </w:r>
    </w:p>
    <w:p>
      <w:pPr>
        <w:spacing w:after="120"/>
        <w:ind w:left="397" w:hanging="397"/>
        <w:jc w:val="both"/>
      </w:pPr>
      <w:r>
        <w:rPr>
          <w:rFonts w:ascii="Times New Roman" w:hAnsi="Times New Roman"/>
          <w:b/>
          <w:sz w:val="23"/>
        </w:rPr>
        <w:t xml:space="preserve">4. </w:t>
      </w:r>
      <w:r>
        <w:rPr>
          <w:rFonts w:ascii="Times New Roman" w:hAnsi="Times New Roman"/>
          <w:sz w:val="23"/>
        </w:rPr>
        <w:t>der Beklagten die Kosten des Verfahrens aufzuerlegen.</w:t>
      </w:r>
    </w:p>
    <w:p>
      <w:pPr>
        <w:jc w:val="both"/>
      </w:pPr>
      <w:r>
        <w:rPr>
          <w:rFonts w:ascii="Times New Roman" w:hAnsi="Times New Roman"/>
          <w:b w:val="0"/>
          <w:i w:val="0"/>
          <w:sz w:val="23"/>
        </w:rPr>
        <w:t>Vorsorglich wird um einen gerichtlichen Hinweis gebeten, falls das Gericht den feststellungsfähigen Inhalt des Rechtsverhältnisses enger oder anders fassen sollte. Der Kläger hält an dem Rechtsschutzziel fest, die rechtlichen Folgen der vollständig verweigerten Erkenntnismöglichkeiten für die vom Bundesverwaltungsgericht verlangte Substantiierung gerichtlich klären zu lassen.</w:t>
      </w:r>
    </w:p>
    <w:p>
      <w:pPr>
        <w:pStyle w:val="Heading1"/>
        <w:keepNext/>
        <w:ind w:firstLine="0"/>
      </w:pPr>
      <w:r>
        <w:t>Begründung</w:t>
      </w:r>
    </w:p>
    <w:p>
      <w:pPr>
        <w:pStyle w:val="Heading2"/>
        <w:keepNext/>
        <w:ind w:firstLine="0"/>
      </w:pPr>
      <w:r>
        <w:t>I. Der Gegenstand dieses Verfahrens in einem Satz</w:t>
      </w:r>
    </w:p>
    <w:p>
      <w:pPr>
        <w:pStyle w:val="QuoteLegal"/>
        <w:jc w:val="both"/>
      </w:pPr>
      <w:r>
        <w:rPr>
          <w:rFonts w:ascii="Times New Roman" w:hAnsi="Times New Roman"/>
          <w:i/>
          <w:sz w:val="22"/>
        </w:rPr>
        <w:t>Das Bundesverwaltungsgericht hat einen programmbasierten Einwand gegen die Rundfunkbeitragspflicht eröffnet und hierfür in aller Regel ein wissenschaftlichen Anforderungen genügendes Gutachten verlangt. Der Kläger hat den dafür benötigten Zugang bei sämtlichen praktisch in Betracht kommenden öffentlich-rechtlichen Datenhaltern beantragt. Alle Zugänge wurden verweigert. Zu klären ist deshalb, ob dem Kläger anschließend gerade das Fehlen des wissenschaftlichen Nachweises entgegengehalten werden darf.</w:t>
      </w:r>
    </w:p>
    <w:p>
      <w:pPr>
        <w:jc w:val="both"/>
      </w:pPr>
      <w:r>
        <w:rPr>
          <w:rFonts w:ascii="Times New Roman" w:hAnsi="Times New Roman"/>
          <w:b w:val="0"/>
          <w:i w:val="0"/>
          <w:sz w:val="23"/>
        </w:rPr>
        <w:t>Diese Klage will weder eine politische Programmbewertung noch eine Kontrolle einzelner Sendungen erreichen. Sie verlangt auch keinen Anspruch auf ein bestimmtes Programm. Sie stellt die vorgelagerte prozessuale Frage nach der tatsächlichen Erreichbarkeit eines höchstrichterlich eröffneten Rechtsschutzweges.</w:t>
      </w:r>
    </w:p>
    <w:p>
      <w:pPr>
        <w:pStyle w:val="Heading2"/>
        <w:keepNext/>
        <w:ind w:firstLine="0"/>
      </w:pPr>
      <w:r>
        <w:t>II. Ausgangslage: bereits abgeschlossenes Beitragsverfahren des Klägers</w:t>
      </w:r>
    </w:p>
    <w:p>
      <w:pPr>
        <w:jc w:val="both"/>
      </w:pPr>
      <w:r>
        <w:rPr>
          <w:rFonts w:ascii="Times New Roman" w:hAnsi="Times New Roman"/>
          <w:b w:val="0"/>
          <w:i w:val="0"/>
          <w:sz w:val="23"/>
        </w:rPr>
        <w:t>Der Kläger ist seit Jahren rundfunkbeitragspflichtig. Er hat bereits vor dem Verwaltungsgericht [Gericht] unter dem Aktenzeichen [Az. des früheren Beitragsverfahrens] gegen einen oder mehrere Rundfunkbeitragsbescheide geklagt. Dieses Verfahren ist mit [Urteil/Beschluss] vom [Datum] erfolglos abgeschlossen worden; die Entscheidung ist rechtskräftig.</w:t>
      </w:r>
    </w:p>
    <w:p>
      <w:pPr>
        <w:ind w:firstLine="283"/>
        <w:jc w:val="both"/>
      </w:pPr>
      <w:r>
        <w:rPr>
          <w:rFonts w:ascii="Times New Roman" w:hAnsi="Times New Roman"/>
          <w:b w:val="0"/>
          <w:i w:val="0"/>
          <w:sz w:val="23"/>
        </w:rPr>
        <w:t>In diesem früheren Verfahren lagen dem Gericht bereits die zentralen Untersuchungen der Klägerseite vor beziehungsweise wurden von ihr ausdrücklich in das Verfahren eingeführt:</w:t>
      </w:r>
    </w:p>
    <w:p>
      <w:pPr>
        <w:pStyle w:val="ListBullet"/>
        <w:spacing w:after="40"/>
        <w:ind w:left="397" w:hanging="170"/>
      </w:pPr>
      <w:r>
        <w:rPr>
          <w:rFonts w:ascii="Times New Roman" w:hAnsi="Times New Roman"/>
          <w:sz w:val="23"/>
        </w:rPr>
        <w:t>das V-Gutachten zur empirischen Überprüfbarkeit des publizistischen Vielfaltauftrags des öffentlich-rechtlichen Rundfunks, Version 1.3,</w:t>
      </w:r>
    </w:p>
    <w:p>
      <w:pPr>
        <w:pStyle w:val="ListBullet"/>
        <w:spacing w:after="40"/>
        <w:ind w:left="397" w:hanging="170"/>
      </w:pPr>
      <w:r>
        <w:rPr>
          <w:rFonts w:ascii="Times New Roman" w:hAnsi="Times New Roman"/>
          <w:sz w:val="23"/>
        </w:rPr>
        <w:t>das Gutachten „Rundfunkalarm – Programmbeschwerden und Gremienkontrolle“, gerichtliche Fassung vom 27.06.2026,</w:t>
      </w:r>
    </w:p>
    <w:p>
      <w:pPr>
        <w:pStyle w:val="ListBullet"/>
        <w:spacing w:after="40"/>
        <w:ind w:left="397" w:hanging="170"/>
      </w:pPr>
      <w:r>
        <w:rPr>
          <w:rFonts w:ascii="Times New Roman" w:hAnsi="Times New Roman"/>
          <w:sz w:val="23"/>
        </w:rPr>
        <w:t>das Kurzgutachten zur gerichtlichen Kontrolle des gesetzlichen Funktionsauftrags unter den Bedingungen digital rekonstruierbarer institutioneller Lebenssachverhalte vom 16.07.2026,</w:t>
      </w:r>
    </w:p>
    <w:p>
      <w:pPr>
        <w:pStyle w:val="ListBullet"/>
        <w:spacing w:after="40"/>
        <w:ind w:left="397" w:hanging="170"/>
      </w:pPr>
      <w:r>
        <w:rPr>
          <w:rFonts w:ascii="Times New Roman" w:hAnsi="Times New Roman"/>
          <w:sz w:val="23"/>
        </w:rPr>
        <w:t>die wissenschaftliche Grundlagenuntersuchung „Erkenntnis als Voraussetzung des Beweises – Die digitale Erkenntnisordnung komplexer institutioneller Lebenssachverhalte“ vom 16.07.2026.</w:t>
      </w:r>
    </w:p>
    <w:p>
      <w:pPr>
        <w:jc w:val="both"/>
      </w:pPr>
      <w:r>
        <w:rPr>
          <w:rFonts w:ascii="Times New Roman" w:hAnsi="Times New Roman"/>
          <w:b w:val="0"/>
          <w:i w:val="0"/>
          <w:sz w:val="23"/>
        </w:rPr>
        <w:t>Trotz dieses Vortrags drang der Kläger im Beitragsverfahren nicht durch. Der vorliegende Rechtsstreit versucht nicht, diese rechtskräftige Entscheidung nachträglich zu korrigieren. Er setzt vielmehr an einem neuen, erst durch die nachfolgend dargestellten Zugangsbegehren und deren Ablehnung konkretisierten Rechtsverhältnis an.</w:t>
      </w:r>
    </w:p>
    <w:p>
      <w:pPr>
        <w:jc w:val="both"/>
      </w:pPr>
      <w:r>
        <w:rPr>
          <w:rFonts w:ascii="Times New Roman" w:hAnsi="Times New Roman"/>
          <w:b w:val="0"/>
          <w:i w:val="0"/>
          <w:sz w:val="23"/>
        </w:rPr>
        <w:t>Beweis: [Urteil/Beschluss] des Verwaltungsgerichts [Ort] vom [Datum], Az. [Az.], Anlage K 1; die vier Untersuchungen, Anlagen K 2 bis K 5.</w:t>
      </w:r>
    </w:p>
    <w:p>
      <w:pPr>
        <w:jc w:val="both"/>
      </w:pPr>
      <w:r>
        <w:rPr>
          <w:rFonts w:ascii="Times New Roman" w:hAnsi="Times New Roman"/>
          <w:b w:val="0"/>
          <w:i w:val="0"/>
          <w:sz w:val="23"/>
        </w:rPr>
        <w:t>Für die individualisierte Fassung dieses Musters ist die konkrete gerichtliche Behandlung des damaligen Vortrags kurz einzusetzen:</w:t>
      </w:r>
    </w:p>
    <w:p>
      <w:pPr>
        <w:pStyle w:val="ListBullet"/>
        <w:spacing w:after="40"/>
        <w:ind w:left="397" w:hanging="170"/>
      </w:pPr>
      <w:r>
        <w:rPr>
          <w:rFonts w:ascii="Times New Roman" w:hAnsi="Times New Roman"/>
          <w:sz w:val="23"/>
        </w:rPr>
        <w:t>tragende Begründung der damaligen Klageabweisung: [kurze wörtliche oder sinngemäße Wiedergabe],</w:t>
      </w:r>
    </w:p>
    <w:p>
      <w:pPr>
        <w:pStyle w:val="ListBullet"/>
        <w:spacing w:after="40"/>
        <w:ind w:left="397" w:hanging="170"/>
      </w:pPr>
      <w:r>
        <w:rPr>
          <w:rFonts w:ascii="Times New Roman" w:hAnsi="Times New Roman"/>
          <w:sz w:val="23"/>
        </w:rPr>
        <w:t>Behandlung des V-Gutachtens: [berücksichtigt / als nicht ausreichend angesehen / nicht vertieft behandelt],</w:t>
      </w:r>
    </w:p>
    <w:p>
      <w:pPr>
        <w:pStyle w:val="ListBullet"/>
        <w:spacing w:after="40"/>
        <w:ind w:left="397" w:hanging="170"/>
      </w:pPr>
      <w:r>
        <w:rPr>
          <w:rFonts w:ascii="Times New Roman" w:hAnsi="Times New Roman"/>
          <w:sz w:val="23"/>
        </w:rPr>
        <w:t>Behandlung des Rundfunkalarm-Gutachtens: [Eintragung],</w:t>
      </w:r>
    </w:p>
    <w:p>
      <w:pPr>
        <w:pStyle w:val="ListBullet"/>
        <w:spacing w:after="40"/>
        <w:ind w:left="397" w:hanging="170"/>
      </w:pPr>
      <w:r>
        <w:rPr>
          <w:rFonts w:ascii="Times New Roman" w:hAnsi="Times New Roman"/>
          <w:sz w:val="23"/>
        </w:rPr>
        <w:t>Behandlung von Kurzgutachten und Grundlagenuntersuchung: [Eintragung],</w:t>
      </w:r>
    </w:p>
    <w:p>
      <w:pPr>
        <w:pStyle w:val="ListBullet"/>
        <w:spacing w:after="40"/>
        <w:ind w:left="397" w:hanging="170"/>
      </w:pPr>
      <w:r>
        <w:rPr>
          <w:rFonts w:ascii="Times New Roman" w:hAnsi="Times New Roman"/>
          <w:sz w:val="23"/>
        </w:rPr>
        <w:t>Beweisanträge oder Aufklärungsanregungen und gerichtliche Reaktion: [Eintragung].</w:t>
      </w:r>
    </w:p>
    <w:p>
      <w:pPr>
        <w:jc w:val="both"/>
      </w:pPr>
      <w:r>
        <w:rPr>
          <w:rFonts w:ascii="Times New Roman" w:hAnsi="Times New Roman"/>
          <w:b w:val="0"/>
          <w:i w:val="0"/>
          <w:sz w:val="23"/>
        </w:rPr>
        <w:t>Diese individualisierte Darstellung dient nicht der Kritik an der früheren Entscheidung, sondern der präzisen Dokumentation, an welchem Punkt die damalige Sachprüfung endete und weshalb die nachfolgenden Zugangsbegehren für die nunmehrige Feststellungsfrage entscheidend wurden.</w:t>
      </w:r>
    </w:p>
    <w:p>
      <w:pPr>
        <w:pStyle w:val="Heading2"/>
        <w:keepNext/>
        <w:ind w:firstLine="0"/>
      </w:pPr>
      <w:r>
        <w:t>III. Das Urteil des Bundesverwaltungsgerichts vom 15.10.2025 – 6 C 5.24</w:t>
      </w:r>
    </w:p>
    <w:p>
      <w:pPr>
        <w:ind w:firstLine="283"/>
        <w:jc w:val="both"/>
      </w:pPr>
      <w:r>
        <w:rPr>
          <w:rFonts w:ascii="Times New Roman" w:hAnsi="Times New Roman"/>
          <w:b w:val="0"/>
          <w:i w:val="0"/>
          <w:sz w:val="23"/>
        </w:rPr>
        <w:t>Das Bundesverwaltungsgericht hat die programmbasierte Einwendung nicht als von vornherein unbeachtlich behandelt. Es hat vielmehr einen verfassungsrechtlich relevanten Prüfungsmaßstab entwickelt: Eine Grenze kann erreicht sein, wenn das Gesamtprogrammangebot aller vom Rundfunkbeitrag profitierenden öffentlich-rechtlichen Rundfunkveranstalter in sämtlichen Verbreitungsmedien über einen längeren Zeitraum evidente und regelmäßige Defizite hinsichtlich gegenständlicher und meinungsmäßiger Vielfalt und Ausgewogenheit erkennen lässt (BVerwG, Urt. v. 15.10.2025 – 6 C 5.24, Rn. 39–41).</w:t>
      </w:r>
    </w:p>
    <w:p>
      <w:pPr>
        <w:ind w:firstLine="283"/>
        <w:jc w:val="both"/>
      </w:pPr>
      <w:r>
        <w:rPr>
          <w:rFonts w:ascii="Times New Roman" w:hAnsi="Times New Roman"/>
          <w:b w:val="0"/>
          <w:i w:val="0"/>
          <w:sz w:val="23"/>
        </w:rPr>
        <w:t>Der Untersuchungsgegenstand ist damit außergewöhnlich weit. In den Blick zu nehmen ist das aus Hörfunk, Fernsehen und Telemedien bestehende Gesamtprogrammangebot aller beitragsfinanzierten öffentlich-rechtlichen Veranstalter; Defizite einer einzelnen Anstalt können durch andere Angebote kompensiert werden. Der Beurteilung soll ein Zeitraum von nicht unter zwei Jahren zugrunde liegen (BVerwG, a.a.O., Rn. 40–41).</w:t>
      </w:r>
    </w:p>
    <w:p>
      <w:pPr>
        <w:ind w:firstLine="283"/>
        <w:jc w:val="both"/>
      </w:pPr>
      <w:r>
        <w:rPr>
          <w:rFonts w:ascii="Times New Roman" w:hAnsi="Times New Roman"/>
          <w:b w:val="0"/>
          <w:i w:val="0"/>
          <w:sz w:val="23"/>
        </w:rPr>
        <w:t>Für das vorliegende Verfahren entscheidend sind sodann die Ausführungen des Bundesverwaltungsgerichts zur gerichtlichen Prüfung:</w:t>
      </w:r>
    </w:p>
    <w:p>
      <w:pPr>
        <w:pStyle w:val="QuoteLegal"/>
        <w:jc w:val="both"/>
      </w:pPr>
      <w:r>
        <w:rPr>
          <w:rFonts w:ascii="Times New Roman" w:hAnsi="Times New Roman"/>
          <w:i/>
          <w:sz w:val="22"/>
        </w:rPr>
        <w:t>Ein Verwaltungsgericht muss einem substantiierten Einwand nachgehen und darf den Kläger nicht lediglich auf Programmbeschwerde oder Gremienkontrolle verweisen. Zugleich wird „in aller Regel“ ein wissenschaftlichen Anforderungen genügendes Gutachten erforderlich sein, das anhand geeigneter Indikatoren Evidenz und Regelmäßigkeit potentieller Defizite untersucht. Die Darlegung stelle keine für einen Kläger unüberwindbare prozessuale Hürde dar (BVerwG, Urt. v. 15.10.2025 – 6 C 5.24, Rn. 47–48).</w:t>
      </w:r>
    </w:p>
    <w:p>
      <w:pPr>
        <w:jc w:val="both"/>
      </w:pPr>
      <w:r>
        <w:rPr>
          <w:rFonts w:ascii="Times New Roman" w:hAnsi="Times New Roman"/>
          <w:b w:val="0"/>
          <w:i w:val="0"/>
          <w:sz w:val="23"/>
        </w:rPr>
        <w:t>Gerade die letzte Aussage ist der tatsächliche Ausgangspunkt dieser Feststellungsklage. Der Kläger stellt nicht in Abrede, dass hohe Anforderungen an den Tatsachenvortrag zulässig sein können. Er hat vielmehr praktisch erprobt, ob und wie diese Anforderungen erfüllt werden können. Das Ergebnis der Zugangsversuche ist vollständig negativ.</w:t>
      </w:r>
    </w:p>
    <w:p>
      <w:pPr>
        <w:pStyle w:val="Heading2"/>
        <w:keepNext/>
        <w:ind w:firstLine="0"/>
      </w:pPr>
      <w:r>
        <w:t>IV. Umsetzung des BVerwG-Maßstabs durch konkrete Zugangsbegehren</w:t>
      </w:r>
    </w:p>
    <w:p>
      <w:pPr>
        <w:jc w:val="both"/>
      </w:pPr>
      <w:r>
        <w:rPr>
          <w:rFonts w:ascii="Times New Roman" w:hAnsi="Times New Roman"/>
          <w:b w:val="0"/>
          <w:i w:val="0"/>
          <w:sz w:val="23"/>
        </w:rPr>
        <w:t>Nach Abschluss des früheren Beitragsverfahrens hat der Kläger die vom Bundesverwaltungsgericht formulierte Anforderung nicht lediglich kritisiert, sondern praktisch umzusetzen versucht. Hierzu wurden einheitliche, wissenschaftlich begründete und bewusst abgestufte Anträge gestellt.</w:t>
      </w:r>
    </w:p>
    <w:p>
      <w:pPr>
        <w:jc w:val="both"/>
      </w:pPr>
      <w:r>
        <w:rPr>
          <w:rFonts w:ascii="Times New Roman" w:hAnsi="Times New Roman"/>
          <w:b w:val="0"/>
          <w:i w:val="0"/>
          <w:sz w:val="23"/>
        </w:rPr>
        <w:t>Der Kläger beantragte insbesondere Zugang zu bereits veröffentlichten Programmbeständen und den hierzu vorhandenen technischen und bibliografischen Strukturinformationen. Die Anträge waren ausdrücklich auf vorhandene Daten beschränkt und sahen als mildere Zugangsformen Bestandsauskunft, Präsenzsichtung, Pilotzugang, geschützten Datenraum, wissenschaftliche Eigenrecherche sowie Vertraulichkeits- und Zweckbindungsauflagen vor.</w:t>
      </w:r>
    </w:p>
    <w:p>
      <w:pPr>
        <w:ind w:firstLine="283"/>
        <w:jc w:val="both"/>
      </w:pPr>
      <w:r>
        <w:rPr>
          <w:rFonts w:ascii="Times New Roman" w:hAnsi="Times New Roman"/>
          <w:b w:val="0"/>
          <w:i w:val="0"/>
          <w:sz w:val="23"/>
        </w:rPr>
        <w:t>Der Kläger wandte sich an:</w:t>
      </w:r>
    </w:p>
    <w:p>
      <w:pPr>
        <w:pStyle w:val="ListBullet"/>
        <w:spacing w:after="40"/>
        <w:ind w:left="397" w:hanging="170"/>
      </w:pPr>
      <w:r>
        <w:rPr>
          <w:rFonts w:ascii="Times New Roman" w:hAnsi="Times New Roman"/>
          <w:sz w:val="23"/>
        </w:rPr>
        <w:t>die für ihn zuständige Landesrundfunkanstalt [Name],</w:t>
      </w:r>
    </w:p>
    <w:p>
      <w:pPr>
        <w:pStyle w:val="ListBullet"/>
        <w:spacing w:after="40"/>
        <w:ind w:left="397" w:hanging="170"/>
      </w:pPr>
      <w:r>
        <w:rPr>
          <w:rFonts w:ascii="Times New Roman" w:hAnsi="Times New Roman"/>
          <w:sz w:val="23"/>
        </w:rPr>
        <w:t>das Zweite Deutsche Fernsehen (ZDF),</w:t>
      </w:r>
    </w:p>
    <w:p>
      <w:pPr>
        <w:pStyle w:val="ListBullet"/>
        <w:spacing w:after="40"/>
        <w:ind w:left="397" w:hanging="170"/>
      </w:pPr>
      <w:r>
        <w:rPr>
          <w:rFonts w:ascii="Times New Roman" w:hAnsi="Times New Roman"/>
          <w:sz w:val="23"/>
        </w:rPr>
        <w:t>Deutschlandradio,</w:t>
      </w:r>
    </w:p>
    <w:p>
      <w:pPr>
        <w:pStyle w:val="ListBullet"/>
        <w:spacing w:after="40"/>
        <w:ind w:left="397" w:hanging="170"/>
      </w:pPr>
      <w:r>
        <w:rPr>
          <w:rFonts w:ascii="Times New Roman" w:hAnsi="Times New Roman"/>
          <w:sz w:val="23"/>
        </w:rPr>
        <w:t>das [Deutsche Rundfunkarchiv / zuständige Rundfunkarchiv] sowie gegebenenfalls die zuständige Archiv- und Dokumentationsstelle der Landesrundfunkanstalt.</w:t>
      </w:r>
    </w:p>
    <w:p>
      <w:pPr>
        <w:jc w:val="both"/>
      </w:pPr>
      <w:r>
        <w:rPr>
          <w:rFonts w:ascii="Times New Roman" w:hAnsi="Times New Roman"/>
          <w:b w:val="0"/>
          <w:i w:val="0"/>
          <w:sz w:val="23"/>
        </w:rPr>
        <w:t>Zusätzlich beantragte der Kläger die Sicherung der für den Untersuchungszeitraum vorhandenen Daten und erinnerte nach Ausbleiben beziehungsweise Pauschalität der Antworten an eine differenzierte Entscheidung. Der wissenschaftliche Zweck, der Untersuchungszeitraum, die vorgesehenen Methoden und die Schutzmaßnahmen wurden in einer einheitlichen Forschungsanlage erläutert.</w:t>
      </w:r>
    </w:p>
    <w:p>
      <w:pPr>
        <w:jc w:val="both"/>
      </w:pPr>
      <w:r>
        <w:rPr>
          <w:rFonts w:ascii="Times New Roman" w:hAnsi="Times New Roman"/>
          <w:b w:val="0"/>
          <w:i w:val="0"/>
          <w:sz w:val="23"/>
        </w:rPr>
        <w:t>Beweis: Anträge des Klägers an die genannten Stellen nebst Forschungsanlage und Sicherungsantrag, Anlagen K 6 bis K 10.</w:t>
      </w:r>
    </w:p>
    <w:p>
      <w:pPr>
        <w:pStyle w:val="Heading2"/>
        <w:keepNext/>
        <w:ind w:firstLine="0"/>
      </w:pPr>
      <w:r>
        <w:t>V. Ergebnis: sämtliche praktisch in Betracht kommenden Zugänge wurden verweigert</w:t>
      </w:r>
    </w:p>
    <w:p>
      <w:pPr>
        <w:jc w:val="both"/>
      </w:pPr>
      <w:r>
        <w:rPr>
          <w:rFonts w:ascii="Times New Roman" w:hAnsi="Times New Roman"/>
          <w:b w:val="0"/>
          <w:i w:val="0"/>
          <w:sz w:val="23"/>
        </w:rPr>
        <w:t>Sämtliche angeschriebenen Stellen haben den begehrten wissenschaftlichen Zugang im Ergebnis abgelehnt. Weder wurde ein vollständiger Zugang eröffnet noch ein tatsächlich gleichwertiger alternativer Forschungsweg angeboten. Insbesondere erhielt der Kläger keinen Zugriff, der eine anstaltsübergreifende, langfristige und reproduzierbare Untersuchung im Sinne des vom Bundesverwaltungsgericht beschriebenen Gesamtmaßstabs ermöglichen würde.</w:t>
      </w:r>
    </w:p>
    <w:p>
      <w:pPr>
        <w:jc w:val="both"/>
      </w:pPr>
      <w:r>
        <w:rPr>
          <w:rFonts w:ascii="Times New Roman" w:hAnsi="Times New Roman"/>
          <w:b w:val="0"/>
          <w:i w:val="0"/>
          <w:sz w:val="23"/>
        </w:rPr>
        <w:t>Die Ablehnungen betrafen dabei nicht nur besonders sensible redaktionelle Interna. Auch die angebotenen abgestuften Modelle – Bestandsauskunft, Pilotzugang, Präsenzsichtung, Zugang zu vorhandenen Transkripten und Untertiteln, technische Identifikations- und Zeitmetadaten oder ein geschützter Forschungszugang – führten zu keinem praktisch nutzbaren Gesamtzugang.</w:t>
      </w:r>
    </w:p>
    <w:p>
      <w:pPr>
        <w:ind w:firstLine="283"/>
        <w:jc w:val="both"/>
      </w:pPr>
      <w:r>
        <w:rPr>
          <w:rFonts w:ascii="Times New Roman" w:hAnsi="Times New Roman"/>
          <w:b w:val="0"/>
          <w:i w:val="0"/>
          <w:sz w:val="23"/>
        </w:rPr>
        <w:t>Damit ist für diesen Kläger erstmals ein geschlossener tatsächlicher Befund entstanden:</w:t>
      </w:r>
    </w:p>
    <w:p>
      <w:pPr>
        <w:pStyle w:val="ListBullet"/>
        <w:spacing w:after="40"/>
        <w:ind w:left="397" w:hanging="170"/>
      </w:pPr>
      <w:r>
        <w:rPr>
          <w:rFonts w:ascii="Times New Roman" w:hAnsi="Times New Roman"/>
          <w:sz w:val="23"/>
        </w:rPr>
        <w:t>Der programmbasierte Einwand ist höchstrichterlich grundsätzlich eröffnet.</w:t>
      </w:r>
    </w:p>
    <w:p>
      <w:pPr>
        <w:pStyle w:val="ListBullet"/>
        <w:spacing w:after="40"/>
        <w:ind w:left="397" w:hanging="170"/>
      </w:pPr>
      <w:r>
        <w:rPr>
          <w:rFonts w:ascii="Times New Roman" w:hAnsi="Times New Roman"/>
          <w:sz w:val="23"/>
        </w:rPr>
        <w:t>Für seine gerichtliche Relevanz wird in aller Regel eine wissenschaftlich belastbare Gesamtanalyse verlangt.</w:t>
      </w:r>
    </w:p>
    <w:p>
      <w:pPr>
        <w:pStyle w:val="ListBullet"/>
        <w:spacing w:after="40"/>
        <w:ind w:left="397" w:hanging="170"/>
      </w:pPr>
      <w:r>
        <w:rPr>
          <w:rFonts w:ascii="Times New Roman" w:hAnsi="Times New Roman"/>
          <w:sz w:val="23"/>
        </w:rPr>
        <w:t>Die hierfür naheliegenden Daten- und Archivzugänge wurden konkret beantragt.</w:t>
      </w:r>
    </w:p>
    <w:p>
      <w:pPr>
        <w:pStyle w:val="ListBullet"/>
        <w:spacing w:after="40"/>
        <w:ind w:left="397" w:hanging="170"/>
      </w:pPr>
      <w:r>
        <w:rPr>
          <w:rFonts w:ascii="Times New Roman" w:hAnsi="Times New Roman"/>
          <w:sz w:val="23"/>
        </w:rPr>
        <w:t>Landesrundfunkanstalt, ZDF, Deutschlandradio und Rundfunkarchiv haben die beantragten Zugänge im Ergebnis verweigert.</w:t>
      </w:r>
    </w:p>
    <w:p>
      <w:pPr>
        <w:pStyle w:val="ListBullet"/>
        <w:spacing w:after="40"/>
        <w:ind w:left="397" w:hanging="170"/>
      </w:pPr>
      <w:r>
        <w:rPr>
          <w:rFonts w:ascii="Times New Roman" w:hAnsi="Times New Roman"/>
          <w:sz w:val="23"/>
        </w:rPr>
        <w:t>Ein tatsächlich gleichwertiger alternativer Erkenntnisweg wurde dem Kläger nicht eröffnet.</w:t>
      </w:r>
    </w:p>
    <w:p>
      <w:pPr>
        <w:jc w:val="both"/>
      </w:pPr>
      <w:r>
        <w:rPr>
          <w:rFonts w:ascii="Times New Roman" w:hAnsi="Times New Roman"/>
          <w:b w:val="0"/>
          <w:i w:val="0"/>
          <w:sz w:val="23"/>
        </w:rPr>
        <w:t>Beweis: Ablehnungsschreiben der Landesrundfunkanstalt, des ZDF, des Deutschlandradios und des Rundfunkarchivs sowie die Antworten auf Sicherungs- und Erinnerungsanträge, Anlagen K 11 bis K 15.</w:t>
      </w:r>
    </w:p>
    <w:p>
      <w:pPr>
        <w:pStyle w:val="Heading2"/>
        <w:keepNext/>
        <w:ind w:firstLine="0"/>
      </w:pPr>
      <w:r>
        <w:t>VI. Die vier Untersuchungen belegen unterschiedliche Teile desselben Erkenntnisproblems</w:t>
      </w:r>
    </w:p>
    <w:p>
      <w:pPr>
        <w:pStyle w:val="Heading3"/>
        <w:keepNext/>
        <w:ind w:firstLine="0"/>
      </w:pPr>
      <w:r>
        <w:t>1. V-Gutachten: gerichtliche Substantiierungsschwelle und strukturelle Erkenntnisasymmetrie</w:t>
      </w:r>
    </w:p>
    <w:p>
      <w:pPr>
        <w:jc w:val="both"/>
      </w:pPr>
      <w:r>
        <w:rPr>
          <w:rFonts w:ascii="Times New Roman" w:hAnsi="Times New Roman"/>
          <w:b w:val="0"/>
          <w:i w:val="0"/>
          <w:sz w:val="23"/>
        </w:rPr>
        <w:t>Das V-Gutachten beansprucht ausdrücklich nicht, ein gerichtliches Sachverständigengutachten zu ersetzen. Es versteht sich als methodische, verfassungsrechtliche und medienstrukturelle Voranalyse. Sein zentraler Befund besteht darin, dass eine wissenschaftliche Gesamtanalyse einen stabilen, vollständigen und reproduzierbaren Datenbestand voraussetzt, während der Bürger regelmäßig nur fragmentarische öffentliche Programmausschnitte vorfindet und strukturierte Archive, Transkripte, Metadaten und weitere Erschließungsinformationen weitgehend innerhalb der Rundfunkorganisationen verbleiben.</w:t>
      </w:r>
    </w:p>
    <w:p>
      <w:pPr>
        <w:jc w:val="both"/>
      </w:pPr>
      <w:r>
        <w:rPr>
          <w:rFonts w:ascii="Times New Roman" w:hAnsi="Times New Roman"/>
          <w:b w:val="0"/>
          <w:i w:val="0"/>
          <w:sz w:val="23"/>
        </w:rPr>
        <w:t>Für den Kläger ist dabei besonders bedeutsam, dass diese Problematik bereits in seinem früheren Beitragsverfahren vorgetragen wurde. Die neue Tatsache dieses Verfahrens besteht deshalb nicht in einer Wiederholung des V-Gutachtens, sondern darin, dass der Kläger die dort beschriebene Zugangsbarriere anschließend durch konkrete Anträge praktisch überprüft hat – und dass sämtliche Zugangswege im Ergebnis verschlossen blieben.</w:t>
      </w:r>
    </w:p>
    <w:p>
      <w:pPr>
        <w:pStyle w:val="Heading3"/>
        <w:keepNext/>
        <w:ind w:firstLine="0"/>
      </w:pPr>
      <w:r>
        <w:t>2. Rundfunkalarm-Gutachten: der Beschwerde- und Gremienweg ist keine hinreichende Ersatzantwort</w:t>
      </w:r>
    </w:p>
    <w:p>
      <w:pPr>
        <w:jc w:val="both"/>
      </w:pPr>
      <w:r>
        <w:rPr>
          <w:rFonts w:ascii="Times New Roman" w:hAnsi="Times New Roman"/>
          <w:b w:val="0"/>
          <w:i w:val="0"/>
          <w:sz w:val="23"/>
        </w:rPr>
        <w:t>Das Rundfunkalarm-Gutachten untersucht nicht, ob jede einzelne Programmbeschwerde materiell berechtigt war. Sein Beweisthema ist enger: die praktische Wirksamkeit des institutionell vorgesehenen Beschwerde- und Gremienwegs. Der ausgewertete Datensatz umfasst 4.086 ursprüngliche Beschwerdevorgänge im Zeitraum 13.06.2024 bis 19.06.2026, 118.627 Teilungen und 3.329 Rundfunkratsinformationen; die öffentliche Statistik weist ergänzend 3.452 Beschwerden beim Rundfunkrat aus.</w:t>
      </w:r>
    </w:p>
    <w:p>
      <w:pPr>
        <w:jc w:val="both"/>
      </w:pPr>
      <w:r>
        <w:rPr>
          <w:rFonts w:ascii="Times New Roman" w:hAnsi="Times New Roman"/>
          <w:b w:val="0"/>
          <w:i w:val="0"/>
          <w:sz w:val="23"/>
        </w:rPr>
        <w:t>Nach dem Gutachten ist im ausgewerteten Material kein Fall dokumentiert, in dem eine über Rundfunkalarm erfasste Programmbeschwerde zu einer nach außen dokumentierten Korrektur, Richtigstellung, öffentlichen Klarstellung, redaktionellen Änderung oder sonstigen Abhilfe geführt hätte. Das Gutachten formuliert bewusst vorsichtig: Es belegt nicht, dass intern niemals Reaktionen erfolgten; es erschüttert aber die Annahme, der bloße Verweis auf Programmbeschwerde und Gremienkontrolle sei eine tatsächlich gleichwertige Rechtsschutzalternative.</w:t>
      </w:r>
    </w:p>
    <w:p>
      <w:pPr>
        <w:jc w:val="both"/>
      </w:pPr>
      <w:r>
        <w:rPr>
          <w:rFonts w:ascii="Times New Roman" w:hAnsi="Times New Roman"/>
          <w:b w:val="0"/>
          <w:i w:val="0"/>
          <w:sz w:val="23"/>
        </w:rPr>
        <w:t>Dieser Befund korrespondiert unmittelbar mit dem Urteil des Bundesverwaltungsgerichts, das ausdrücklich festhält, dass ein Verwaltungsgericht einen substantiiert vortragenden Kläger nicht lediglich auf Programmbeschwerde oder Gremienkontrolle verweisen darf (BVerwG, a.a.O., Rn. 47).</w:t>
      </w:r>
    </w:p>
    <w:p>
      <w:pPr>
        <w:pStyle w:val="Heading3"/>
        <w:keepNext/>
        <w:ind w:firstLine="0"/>
      </w:pPr>
      <w:r>
        <w:t>3. Kurzgutachten: der entscheidungserhebliche Lebenssachverhalt ist ein Gesamtzusammenhang</w:t>
      </w:r>
    </w:p>
    <w:p>
      <w:pPr>
        <w:jc w:val="both"/>
      </w:pPr>
      <w:r>
        <w:rPr>
          <w:rFonts w:ascii="Times New Roman" w:hAnsi="Times New Roman"/>
          <w:b w:val="0"/>
          <w:i w:val="0"/>
          <w:sz w:val="23"/>
        </w:rPr>
        <w:t>Das Kurzgutachten verdichtet die prozessrechtliche Frage. Es stellt nicht die allgemeinen Regeln über Darlegungslast, Amtsermittlung oder Beweiswürdigung in Frage. Sein Ausgangspunkt lautet vielmehr: Wenn der materielle Prüfungsmaßstab auf einen langfristigen institutionellen Gesamtzusammenhang abstellt, muss geklärt werden, welcher tatsächliche Lebenssachverhalt für die gerichtliche Prüfung rekonstruiert werden muss und welche Erkenntnismittel hierfür real verfügbar sind.</w:t>
      </w:r>
    </w:p>
    <w:p>
      <w:pPr>
        <w:jc w:val="both"/>
      </w:pPr>
      <w:r>
        <w:rPr>
          <w:rFonts w:ascii="Times New Roman" w:hAnsi="Times New Roman"/>
          <w:b w:val="0"/>
          <w:i w:val="0"/>
          <w:sz w:val="23"/>
        </w:rPr>
        <w:t>Damit verlagert sich die Diskussion weg von einzelnen Sendungen und einzelnen behaupteten Fehlern hin zur Frage der Erkenntnisfähigkeit des Gesamtprogramms. Genau diese Frage ist nach den nunmehr erfolgten vollständigen Zugangsablehnungen nicht mehr theoretisch, sondern konkret.</w:t>
      </w:r>
    </w:p>
    <w:p>
      <w:pPr>
        <w:pStyle w:val="Heading3"/>
        <w:keepNext/>
        <w:ind w:firstLine="0"/>
      </w:pPr>
      <w:r>
        <w:t>4. Grundlagenuntersuchung: Erkenntnis als Voraussetzung des Beweises</w:t>
      </w:r>
    </w:p>
    <w:p>
      <w:pPr>
        <w:jc w:val="both"/>
      </w:pPr>
      <w:r>
        <w:rPr>
          <w:rFonts w:ascii="Times New Roman" w:hAnsi="Times New Roman"/>
          <w:b w:val="0"/>
          <w:i w:val="0"/>
          <w:sz w:val="23"/>
        </w:rPr>
        <w:t>Die wissenschaftliche Grundlagenuntersuchung entwickelt den Gedanken der digitalen Erkenntnisordnung. Sie behauptet ausdrücklich weder eine neue Beweisregel noch eine automatische Offenlegungspflicht. Sie beschreibt vielmehr eine tatsächliche Konstellation: Komplexe institutionelle Lebenssachverhalte können nur dann zuverlässig gerichtlich beurteilt werden, wenn die für ihre Rekonstruktion notwendigen Erkenntnisquellen erreichbar sind. Amtsermittlung, Mitwirkung der Beteiligten und wissenschaftliche Rekonstruktion bilden dabei keine Gegensätze, sondern unterschiedliche Elemente der Tatsachenaufklärung.</w:t>
      </w:r>
    </w:p>
    <w:p>
      <w:pPr>
        <w:jc w:val="both"/>
      </w:pPr>
      <w:r>
        <w:rPr>
          <w:rFonts w:ascii="Times New Roman" w:hAnsi="Times New Roman"/>
          <w:b w:val="0"/>
          <w:i w:val="0"/>
          <w:sz w:val="23"/>
        </w:rPr>
        <w:t>Gerade diese Selbstbegrenzung ist für den vorliegenden Rechtsstreit wichtig. Der Kläger leitet aus der Grundlagenuntersuchung keinen schrankenlosen Datenanspruch ab. Er macht allein geltend, dass das Fehlen eines wissenschaftlichen Vollnachweises nicht als prozessualer Nachteil gegen ihn verwendet werden darf, wenn die für genau diesen Nachweis konkret erbetenen Erkenntnisgrundlagen tatsächlich nicht erreichbar sind und auch kein gleichwertiger Ersatzweg eröffnet wird.</w:t>
      </w:r>
    </w:p>
    <w:p>
      <w:pPr>
        <w:pStyle w:val="Heading2"/>
        <w:keepNext/>
        <w:ind w:firstLine="0"/>
      </w:pPr>
      <w:r>
        <w:t>VII. Die bisherige gerichtliche Praxis ist Teil des Tatsachenbefunds</w:t>
      </w:r>
    </w:p>
    <w:p>
      <w:pPr>
        <w:jc w:val="both"/>
      </w:pPr>
      <w:r>
        <w:rPr>
          <w:rFonts w:ascii="Times New Roman" w:hAnsi="Times New Roman"/>
          <w:b w:val="0"/>
          <w:i w:val="0"/>
          <w:sz w:val="23"/>
        </w:rPr>
        <w:t>Der Kläger steht mit dieser Ausgangslage nicht allein. Die Klägerseite kann eine Vielzahl bereits abgeschlossener verwaltungsgerichtlicher Beitragsverfahren dokumentieren, in denen programmbasierte Einwendungen trotz umfangreichen Vortrags nicht zu einer inhaltlichen Gesamtprogrammprüfung geführt haben. Das V-Gutachten wertet diese Entwicklung als strukturelles Erkenntnisproblem aus.</w:t>
      </w:r>
    </w:p>
    <w:p>
      <w:pPr>
        <w:jc w:val="both"/>
      </w:pPr>
      <w:r>
        <w:rPr>
          <w:rFonts w:ascii="Times New Roman" w:hAnsi="Times New Roman"/>
          <w:b w:val="0"/>
          <w:i w:val="0"/>
          <w:sz w:val="23"/>
        </w:rPr>
        <w:t>Für die vorliegende Klage wird daraus kein pauschaler Vorwurf gegen die Verwaltungsgerichtsbarkeit abgeleitet. Die bisherigen Entscheidungen werden vielmehr als Tatsachenmaterial dafür herangezogen, dass die vom Bundesverwaltungsgericht beschriebene Substantiierungsschwelle in der bisherigen Praxis regelmäßig nicht erreicht wurde und die Frage nach den tatsächlichen Voraussetzungen ihrer Erreichbarkeit daher klärungsbedürftig ist.</w:t>
      </w:r>
    </w:p>
    <w:p>
      <w:pPr>
        <w:jc w:val="both"/>
      </w:pPr>
      <w:r>
        <w:rPr>
          <w:rFonts w:ascii="Times New Roman" w:hAnsi="Times New Roman"/>
          <w:b w:val="0"/>
          <w:i w:val="0"/>
          <w:sz w:val="23"/>
        </w:rPr>
        <w:t>Soweit erforderlich, wird der Kläger eine tabellarische Übersicht der einschlägigen Verfahren, Aktenzeichen, vorgelegten Gutachten und gerichtlichen Reaktionen als weitere Anlage nachreichen.</w:t>
      </w:r>
    </w:p>
    <w:p>
      <w:pPr>
        <w:pStyle w:val="Heading2"/>
        <w:keepNext/>
        <w:ind w:firstLine="0"/>
      </w:pPr>
      <w:r>
        <w:t>VIII. Zulässigkeit der Feststellungsklage</w:t>
      </w:r>
    </w:p>
    <w:p>
      <w:pPr>
        <w:pStyle w:val="Heading3"/>
        <w:keepNext/>
        <w:ind w:firstLine="0"/>
      </w:pPr>
      <w:r>
        <w:t>1. Verwaltungsrechtsweg</w:t>
      </w:r>
    </w:p>
    <w:p>
      <w:pPr>
        <w:jc w:val="both"/>
      </w:pPr>
      <w:r>
        <w:rPr>
          <w:rFonts w:ascii="Times New Roman" w:hAnsi="Times New Roman"/>
          <w:b w:val="0"/>
          <w:i w:val="0"/>
          <w:sz w:val="23"/>
        </w:rPr>
        <w:t>Der Verwaltungsrechtsweg ist nach § 40 Abs. 1 Satz 1 VwGO eröffnet. Streitgegenstand ist ein öffentlich-rechtliches Rechtsverhältnis zwischen dem beitragspflichtigen Kläger und der als Anstalt des öffentlichen Rechts handelnden Beklagten. Der Kläger begehrt keine privatrechtliche Nutzung einzelner Sendungen und keinen Erwerb von Archivmaterial. Er begehrt die Klärung, welche rechtliche Folge die vollständige Verweigerung der für den höchstrichterlich eröffneten Einwand beantragten Erkenntnisgrundlagen im fortdauernden beitragsrechtlichen Rechtsverhältnis hat.</w:t>
      </w:r>
    </w:p>
    <w:p>
      <w:pPr>
        <w:pStyle w:val="Heading3"/>
        <w:keepNext/>
        <w:ind w:firstLine="0"/>
      </w:pPr>
      <w:r>
        <w:t>2. Feststellungsfähiges konkretes Rechtsverhältnis</w:t>
      </w:r>
    </w:p>
    <w:p>
      <w:pPr>
        <w:jc w:val="both"/>
      </w:pPr>
      <w:r>
        <w:rPr>
          <w:rFonts w:ascii="Times New Roman" w:hAnsi="Times New Roman"/>
          <w:b w:val="0"/>
          <w:i w:val="0"/>
          <w:sz w:val="23"/>
        </w:rPr>
        <w:t>Nach § 43 Abs. 1 VwGO kann die Feststellung des Bestehens oder Nichtbestehens eines Rechtsverhältnisses begehrt werden, wenn ein berechtigtes Interesse an baldiger Feststellung besteht. Vorliegend geht es nicht um eine abstrakte Rechtsfrage. Zwischen Kläger und Beklagter besteht ein fortdauerndes beitragsrechtliches Rechtsverhältnis. Der Kläger hat den programmbasierten Einwand bereits konkret erhoben, mit ihm ein Beitragsverfahren geführt und verloren. Anschließend hat er die aus dem höchstrichterlichen Maßstab resultierenden tatsächlichen Erkenntnisvoraussetzungen konkret beantragt. Die Beklagte und die weiteren praktisch in Betracht kommenden Datenhalter haben den Zugang verweigert.</w:t>
      </w:r>
    </w:p>
    <w:p>
      <w:pPr>
        <w:jc w:val="both"/>
      </w:pPr>
      <w:r>
        <w:rPr>
          <w:rFonts w:ascii="Times New Roman" w:hAnsi="Times New Roman"/>
          <w:b w:val="0"/>
          <w:i w:val="0"/>
          <w:sz w:val="23"/>
        </w:rPr>
        <w:t>Damit ist die Rechtsfrage gegenwärtig und individualisiert: Darf die Beklagte in diesem konkreten Rechtsverhältnis die Nichterbringung eines wissenschaftlichen Vollnachweises zulasten des Klägers verwerten, obwohl die tatsächlich erprobten Zugangswege zu den dafür benötigten Erkenntnisgrundlagen verschlossen sind?</w:t>
      </w:r>
    </w:p>
    <w:p>
      <w:pPr>
        <w:pStyle w:val="Heading3"/>
        <w:keepNext/>
        <w:ind w:firstLine="0"/>
      </w:pPr>
      <w:r>
        <w:t>3. Berechtigtes Interesse an baldiger Feststellung</w:t>
      </w:r>
    </w:p>
    <w:p>
      <w:pPr>
        <w:jc w:val="both"/>
      </w:pPr>
      <w:r>
        <w:rPr>
          <w:rFonts w:ascii="Times New Roman" w:hAnsi="Times New Roman"/>
          <w:b w:val="0"/>
          <w:i w:val="0"/>
          <w:sz w:val="23"/>
        </w:rPr>
        <w:t>Das Feststellungsinteresse folgt aus der fortdauernden Beitragspflicht und der konkreten Wiederholungsgefahr. Der Kläger wird auch künftig mit Rundfunkbeiträgen belastet und muss bei weiteren Festsetzungen beziehungsweise Rechtsbehelfen wissen, welche Anforderungen an einen programmbasierten Einwand tatsächlich gestellt werden dürfen. Die Rechtsfrage ist nicht akademisch, sondern bestimmt unmittelbar, ob der vom Bundesverwaltungsgericht eröffnete Einwand praktisch genutzt werden kann.</w:t>
      </w:r>
    </w:p>
    <w:p>
      <w:pPr>
        <w:jc w:val="both"/>
      </w:pPr>
      <w:r>
        <w:rPr>
          <w:rFonts w:ascii="Times New Roman" w:hAnsi="Times New Roman"/>
          <w:b w:val="0"/>
          <w:i w:val="0"/>
          <w:sz w:val="23"/>
        </w:rPr>
        <w:t>Hinzu kommt, dass der Kläger nicht lediglich behauptet, Informationszugang sei schwierig. Er hat sämtliche naheliegenden öffentlich-rechtlichen Zugangswege tatsächlich beschritten und abschlägig beschieden bekommen. Das Feststellungsinteresse hat sich damit durch konkrete Ablehnungsentscheidungen verdichtet.</w:t>
      </w:r>
    </w:p>
    <w:p>
      <w:pPr>
        <w:pStyle w:val="Heading3"/>
        <w:keepNext/>
        <w:ind w:firstLine="0"/>
      </w:pPr>
      <w:r>
        <w:t>4. Keine unzulässige Popularklage</w:t>
      </w:r>
    </w:p>
    <w:p>
      <w:pPr>
        <w:jc w:val="both"/>
      </w:pPr>
      <w:r>
        <w:rPr>
          <w:rFonts w:ascii="Times New Roman" w:hAnsi="Times New Roman"/>
          <w:b w:val="0"/>
          <w:i w:val="0"/>
          <w:sz w:val="23"/>
        </w:rPr>
        <w:t>Der Kläger begehrt keine allgemeine Kontrolle des öffentlich-rechtlichen Rundfunks. Seine Betroffenheit ist individuell: Er ist beitragspflichtig, hat den programmbasierten Einwand bereits in einem eigenen Beitragsverfahren geltend gemacht, hat die vier Untersuchungen in dieses Verfahren eingeführt und hat anschließend selbst die für den Nachweis benötigten Zugänge beantragt. Gegenstand ist allein die Rechtsposition dieses Klägers gegenüber dieser Beklagten.</w:t>
      </w:r>
    </w:p>
    <w:p>
      <w:pPr>
        <w:pStyle w:val="Heading3"/>
        <w:keepNext/>
        <w:ind w:firstLine="0"/>
      </w:pPr>
      <w:r>
        <w:t>5. Keine Sperrwirkung des früheren Beitragsurteils (§ 121 VwGO)</w:t>
      </w:r>
    </w:p>
    <w:p>
      <w:pPr>
        <w:jc w:val="both"/>
      </w:pPr>
      <w:r>
        <w:rPr>
          <w:rFonts w:ascii="Times New Roman" w:hAnsi="Times New Roman"/>
          <w:b w:val="0"/>
          <w:i w:val="0"/>
          <w:sz w:val="23"/>
        </w:rPr>
        <w:t>Nach § 121 VwGO binden rechtskräftige Urteile, soweit über den Streitgegenstand entschieden worden ist. Der Streitgegenstand des früheren Verfahrens war die Rechtmäßigkeit der dort angefochtenen Beitragsfestsetzung für den damaligen Zeitraum. Dieser Streitgegenstand wird hier nicht erneut zur Entscheidung gestellt.</w:t>
      </w:r>
    </w:p>
    <w:p>
      <w:pPr>
        <w:jc w:val="both"/>
      </w:pPr>
      <w:r>
        <w:rPr>
          <w:rFonts w:ascii="Times New Roman" w:hAnsi="Times New Roman"/>
          <w:b w:val="0"/>
          <w:i w:val="0"/>
          <w:sz w:val="23"/>
        </w:rPr>
        <w:t>Die vorliegende Klage betrifft einen anderen, nachfolgend konkretisierten Tatsachen- und Rechtskomplex: die nach dem früheren Beitragsverfahren gestellten wissenschaftlichen Zugangs- und Sicherungsanträge, deren vollständige Ablehnung und die daraus folgende Frage, welche Bedeutung diese objektiv dokumentierte Erkenntnissituation für die Anforderungen an künftigen programmbasierten Vortrag hat. Die frühere Entscheidung wird daher nicht umgangen, sondern als Teil der tatsächlichen Vorgeschichte offengelegt.</w:t>
      </w:r>
    </w:p>
    <w:p>
      <w:pPr>
        <w:pStyle w:val="Heading3"/>
        <w:keepNext/>
        <w:ind w:firstLine="0"/>
      </w:pPr>
      <w:r>
        <w:t>6. Subsidiarität des § 43 Abs. 2 VwGO</w:t>
      </w:r>
    </w:p>
    <w:p>
      <w:pPr>
        <w:jc w:val="both"/>
      </w:pPr>
      <w:r>
        <w:rPr>
          <w:rFonts w:ascii="Times New Roman" w:hAnsi="Times New Roman"/>
          <w:b w:val="0"/>
          <w:i w:val="0"/>
          <w:sz w:val="23"/>
        </w:rPr>
        <w:t>§ 43 Abs. 2 VwGO steht der Klage nicht entgegen. Der Kläger verfolgt in diesem Verfahren gerade keinen unmittelbaren Leistungsanspruch auf Herausgabe bestimmter Dateien. Sein Rechtsschutzziel ist die Klärung einer eigenständigen Rechtsfolge im beitragsrechtlichen Rechtsverhältnis: ob ihm das Fehlen des wissenschaftlichen Gesamtbeweises entgegengehalten werden darf, nachdem die hierfür konkret beantragten Erkenntniswege tatsächlich verschlossen wurden.</w:t>
      </w:r>
    </w:p>
    <w:p>
      <w:pPr>
        <w:jc w:val="both"/>
      </w:pPr>
      <w:r>
        <w:rPr>
          <w:rFonts w:ascii="Times New Roman" w:hAnsi="Times New Roman"/>
          <w:b w:val="0"/>
          <w:i w:val="0"/>
          <w:sz w:val="23"/>
        </w:rPr>
        <w:t>Dieses Rechtsschutzziel könnte durch eine einzelne Leistungsklage gegen die Beklagte nicht vollständig erreicht werden. Das Bundesverwaltungsgericht verlangt die Betrachtung des Gesamtprogramms aller beitragsfinanzierten öffentlich-rechtlichen Rundfunkveranstalter in Fernsehen, Hörfunk und Telemedien. Selbst ein vollständiger Erfolg einer Datenzugangsklage gegen eine einzige Landesrundfunkanstalt würde daher die systemweite Erkenntnislücke nicht schließen. Umgekehrt müsste der Kläger zahlreiche voneinander unabhängige Leistungsprozesse gegen verschiedene Rundfunkanstalten und Archive führen, ohne dass damit die hier streitige Rechtsfolge für das Beitragsrechtsverhältnis geklärt wäre.</w:t>
      </w:r>
    </w:p>
    <w:p>
      <w:pPr>
        <w:jc w:val="both"/>
      </w:pPr>
      <w:r>
        <w:rPr>
          <w:rFonts w:ascii="Times New Roman" w:hAnsi="Times New Roman"/>
          <w:b w:val="0"/>
          <w:i w:val="0"/>
          <w:sz w:val="23"/>
        </w:rPr>
        <w:t>Die Feststellungsklage ist damit nicht bloß ein Ersatz für eine mögliche Leistungsklage. Sie richtet sich auf einen anderen Streitgegenstand: die Rechtsfolgen der dokumentierten systemweiten Zugangsverweigerung für die Zulässigkeit und Reichweite des Substantiierungseinwands gegenüber dem Beitragspflichtigen.</w:t>
      </w:r>
    </w:p>
    <w:p>
      <w:pPr>
        <w:pStyle w:val="Heading2"/>
        <w:keepNext/>
        <w:ind w:firstLine="0"/>
      </w:pPr>
      <w:r>
        <w:t>IX. Begründetheit</w:t>
      </w:r>
    </w:p>
    <w:p>
      <w:pPr>
        <w:pStyle w:val="Heading3"/>
        <w:keepNext/>
        <w:ind w:firstLine="0"/>
      </w:pPr>
      <w:r>
        <w:t>1. Der Rechtsschutz darf nicht nur theoretisch eröffnet sein</w:t>
      </w:r>
    </w:p>
    <w:p>
      <w:pPr>
        <w:jc w:val="both"/>
      </w:pPr>
      <w:r>
        <w:rPr>
          <w:rFonts w:ascii="Times New Roman" w:hAnsi="Times New Roman"/>
          <w:b w:val="0"/>
          <w:i w:val="0"/>
          <w:sz w:val="23"/>
        </w:rPr>
        <w:t>Art. 19 Abs. 4 Satz 1 GG gewährleistet effektiven und möglichst lückenlosen gerichtlichen Rechtsschutz gegen Akte öffentlicher Gewalt. Das Bundesverfassungsgericht betont in ständiger Rechtsprechung, dass die Prozessordnungen so ausgelegt und angewandt werden müssen, dass der Einzelne seine Rechte tatsächlich wirksam verfolgen kann. Ein Rechtsschutzweg darf nicht durch eine Auslegung des Verfahrensrechts entwertet werden, die das erkennbar verfolgte Rechtsschutzziel einer sachlichen Prüfung entzieht (vgl. etwa BVerfG, Beschl. v. 19.01.2017 – 2 BvR 476/16).</w:t>
      </w:r>
    </w:p>
    <w:p>
      <w:pPr>
        <w:jc w:val="both"/>
      </w:pPr>
      <w:r>
        <w:rPr>
          <w:rFonts w:ascii="Times New Roman" w:hAnsi="Times New Roman"/>
          <w:b w:val="0"/>
          <w:i w:val="0"/>
          <w:sz w:val="23"/>
        </w:rPr>
        <w:t>Das bedeutet nicht, dass dem Kläger ein bestimmtes Prozessergebnis garantiert wäre. Es bedeutet auch nicht, dass jede Beweisschwierigkeit vom Gericht oder von der Beklagten beseitigt werden müsste. Es bedeutet aber, dass ein höchstrichterlich ausdrücklich zugelassener Einwand nicht durch eine Kombination aus extrem hoher Substantiierungsschwelle und tatsächlich verschlossenen Erkenntnisquellen praktisch funktionslos werden darf.</w:t>
      </w:r>
    </w:p>
    <w:p>
      <w:pPr>
        <w:pStyle w:val="Heading3"/>
        <w:keepNext/>
        <w:ind w:firstLine="0"/>
      </w:pPr>
      <w:r>
        <w:t>2. Der Widerspruch zwischen gefordertem Erkenntnisniveau und realen Erkenntnismöglichkeiten</w:t>
      </w:r>
    </w:p>
    <w:p>
      <w:pPr>
        <w:jc w:val="both"/>
      </w:pPr>
      <w:r>
        <w:rPr>
          <w:rFonts w:ascii="Times New Roman" w:hAnsi="Times New Roman"/>
          <w:b w:val="0"/>
          <w:i w:val="0"/>
          <w:sz w:val="23"/>
        </w:rPr>
        <w:t>Der vorliegende Fall ist kein gewöhnlicher Fall fehlenden Parteivortrags. Der Kläger weiß nicht lediglich zu wenig, weil er untätig geblieben wäre. Er hat genau diejenigen Erkenntniswege beschritten, die sich aus dem Prüfungsmaßstab aufdrängen. Er hat die Landesrundfunkanstalt, das ZDF, Deutschlandradio und das Rundfunkarchiv um wissenschaftlich geeigneten Zugang gebeten. Er hat mildere Formen angeboten. Er hat Schutzmaßnahmen akzeptiert. Er hat Bestandsauskunft, Pilotzugang, Präsenzsichtung und technische Metadaten als Alternativen benannt. Gleichwohl blieb der praktisch nutzbare Zugang aus.</w:t>
      </w:r>
    </w:p>
    <w:p>
      <w:pPr>
        <w:jc w:val="both"/>
      </w:pPr>
      <w:r>
        <w:rPr>
          <w:rFonts w:ascii="Times New Roman" w:hAnsi="Times New Roman"/>
          <w:b w:val="0"/>
          <w:i w:val="0"/>
          <w:sz w:val="23"/>
        </w:rPr>
        <w:t>Damit stellt sich nicht mehr die abstrakte Frage, ob ein Kläger theoretisch Informationen sammeln könnte. Zu beantworten ist die konkrete Frage, wie dieser Kläger den vom Bundesverwaltungsgericht verlangten Nachweis tatsächlich erbringen soll.</w:t>
      </w:r>
    </w:p>
    <w:p>
      <w:pPr>
        <w:pStyle w:val="Heading3"/>
        <w:keepNext/>
        <w:ind w:firstLine="0"/>
      </w:pPr>
      <w:r>
        <w:t>3. § 86 Abs. 1 VwGO und die tatsächliche Grundlage richterlicher Aufklärung</w:t>
      </w:r>
    </w:p>
    <w:p>
      <w:pPr>
        <w:jc w:val="both"/>
      </w:pPr>
      <w:r>
        <w:rPr>
          <w:rFonts w:ascii="Times New Roman" w:hAnsi="Times New Roman"/>
          <w:b w:val="0"/>
          <w:i w:val="0"/>
          <w:sz w:val="23"/>
        </w:rPr>
        <w:t>Nach § 86 Abs. 1 VwGO erforscht das Verwaltungsgericht den Sachverhalt von Amts wegen; die Beteiligten sind dabei heranzuziehen. Das Bundesverwaltungsgericht hat zugleich klargestellt, dass nicht jeder unsubstantiierte Vortrag die gerichtliche Aufklärungspflicht auslöst. Genau deshalb ist die vorgelagerte Erkenntnisfrage entscheidend: Der Kläger muss einen Vortrag in einer Qualität liefern, die den Einstieg in die Amtsermittlung ermöglicht. Werden ihm die hierfür objektiv erforderlichen oder praktisch zentralen Erkenntnisquellen verweigert, kann die Schwelle nicht unabhängig von dieser Verweigerung beurteilt werden.</w:t>
      </w:r>
    </w:p>
    <w:p>
      <w:pPr>
        <w:jc w:val="both"/>
      </w:pPr>
      <w:r>
        <w:rPr>
          <w:rFonts w:ascii="Times New Roman" w:hAnsi="Times New Roman"/>
          <w:b w:val="0"/>
          <w:i w:val="0"/>
          <w:sz w:val="23"/>
        </w:rPr>
        <w:t>Der Kläger verlangt keine Umkehr der Darlegungs- oder Beweislast. Er verlangt lediglich, dass die tatsächlichen Erkenntnismöglichkeiten Bestandteil der Beurteilung dessen werden, was von ihm substantiiert verlangt werden kann.</w:t>
      </w:r>
    </w:p>
    <w:p>
      <w:pPr>
        <w:pStyle w:val="Heading3"/>
        <w:keepNext/>
        <w:ind w:firstLine="0"/>
      </w:pPr>
      <w:r>
        <w:t>4. Die Aussage des BVerwG, die Hürde sei nicht unüberwindbar, muss praktisch überprüfbar bleiben</w:t>
      </w:r>
    </w:p>
    <w:p>
      <w:pPr>
        <w:jc w:val="both"/>
      </w:pPr>
      <w:r>
        <w:rPr>
          <w:rFonts w:ascii="Times New Roman" w:hAnsi="Times New Roman"/>
          <w:b w:val="0"/>
          <w:i w:val="0"/>
          <w:sz w:val="23"/>
        </w:rPr>
        <w:t>Das Bundesverwaltungsgericht hat ausdrücklich formuliert, die Darlegung stelle keine für einen Kläger unüberwindbare prozessuale Hürde dar. Diese Aussage ist für den Kläger kein Gegenargument, sondern der Prüfauftrag dieses Verfahrens. Der Kläger hat die Überwindbarkeit praktisch getestet. Seine Anträge sind abgelehnt worden. Eine gleichwertige Alternative wurde nicht eröffnet.</w:t>
      </w:r>
    </w:p>
    <w:p>
      <w:pPr>
        <w:jc w:val="both"/>
      </w:pPr>
      <w:r>
        <w:rPr>
          <w:rFonts w:ascii="Times New Roman" w:hAnsi="Times New Roman"/>
          <w:b w:val="0"/>
          <w:i w:val="0"/>
          <w:sz w:val="23"/>
        </w:rPr>
        <w:t>Unter diesen Umständen kann die Aussage „nicht unüberwindbar“ nicht in eine unwiderlegliche Fiktion umschlagen. Wenn ein Kläger durch konkrete, dokumentierte Versuche nachweist, dass die für die verlangte Untersuchung naheliegenden Datenquellen tatsächlich nicht zugänglich sind, muss das Recht eine Antwort darauf geben, welche Konsequenz dies für den Substantiierungsmaßstab hat.</w:t>
      </w:r>
    </w:p>
    <w:p>
      <w:pPr>
        <w:pStyle w:val="Heading3"/>
        <w:keepNext/>
        <w:ind w:firstLine="0"/>
      </w:pPr>
      <w:r>
        <w:t>5. Keine unmittelbare Herleitung eines schrankenlosen Datenanspruchs aus Art. 19 Abs. 4 GG</w:t>
      </w:r>
    </w:p>
    <w:p>
      <w:pPr>
        <w:jc w:val="both"/>
      </w:pPr>
      <w:r>
        <w:rPr>
          <w:rFonts w:ascii="Times New Roman" w:hAnsi="Times New Roman"/>
          <w:b w:val="0"/>
          <w:i w:val="0"/>
          <w:sz w:val="23"/>
        </w:rPr>
        <w:t>Der Kläger behauptet ausdrücklich nicht, Art. 19 Abs. 4 GG eröffne einen allgemeinen, grenzenlosen Anspruch auf sämtliche internen Datenbestände öffentlich-rechtlicher Rundfunkanstalten. Ebenso wenig behauptet er, die Informationsfreiheit aus Art. 5 Abs. 1 Satz 1 GG eröffne automatisch nicht allgemein zugängliche Quellen. Das Bundesverwaltungsgericht hat im Urteil 6 C 5.24 hierzu ausdrücklich auf die Grenzen der Informationsfreiheit hingewiesen.</w:t>
      </w:r>
    </w:p>
    <w:p>
      <w:pPr>
        <w:jc w:val="both"/>
      </w:pPr>
      <w:r>
        <w:rPr>
          <w:rFonts w:ascii="Times New Roman" w:hAnsi="Times New Roman"/>
          <w:b w:val="0"/>
          <w:i w:val="0"/>
          <w:sz w:val="23"/>
        </w:rPr>
        <w:t>Der Streitgegenstand ist ein anderer: Wenn der Rechtsstaat einerseits eine bestimmte wissenschaftliche Erkenntnisqualität für die Sachprüfung voraussetzt, andererseits aber die konkret erprobten Zugänge zu den hierfür naheliegenden Erkenntnisgrundlagen tatsächlich verschlossen bleiben, darf die Nichterfüllung dieser Voraussetzung nicht ohne Weiteres als ausschließlich vom Kläger zu verantwortendes Darlegungsdefizit behandelt werden.</w:t>
      </w:r>
    </w:p>
    <w:p>
      <w:pPr>
        <w:pStyle w:val="Heading3"/>
        <w:keepNext/>
        <w:ind w:firstLine="0"/>
      </w:pPr>
      <w:r>
        <w:t>6. Rundfunkfreiheit und Programmautonomie werden nicht in Frage gestellt</w:t>
      </w:r>
    </w:p>
    <w:p>
      <w:pPr>
        <w:jc w:val="both"/>
      </w:pPr>
      <w:r>
        <w:rPr>
          <w:rFonts w:ascii="Times New Roman" w:hAnsi="Times New Roman"/>
          <w:b w:val="0"/>
          <w:i w:val="0"/>
          <w:sz w:val="23"/>
        </w:rPr>
        <w:t>Die Klage zielt nicht auf inhaltliche Programmsteuerung. Das Bundesverwaltungsgericht selbst betont die Programmautonomie, hält die Vorteilhaftigkeit des Gesamtprogrammangebots aber gleichwohl für uneingeschränkt gerichtlich kontrollierbar und sieht bei der Evidenzprüfung – gegebenenfalls unter Inanspruchnahme gutachterlicher Expertise – keine Überschreitung der Funktionsgrenzen der Rechtsprechung (BVerwG, a.a.O., Rn. 38).</w:t>
      </w:r>
    </w:p>
    <w:p>
      <w:pPr>
        <w:jc w:val="both"/>
      </w:pPr>
      <w:r>
        <w:rPr>
          <w:rFonts w:ascii="Times New Roman" w:hAnsi="Times New Roman"/>
          <w:b w:val="0"/>
          <w:i w:val="0"/>
          <w:sz w:val="23"/>
        </w:rPr>
        <w:t>Wenn aber eine solche gerichtliche Kontrolle verfassungsrechtlich möglich sein soll, muss die tatsächliche Erkenntnisbasis der Kontrolle erreichbar sein. Die vorliegende Feststellungsklage greift nicht in die journalistische Entscheidung ein; sie fragt ausschließlich nach den prozessualen Folgen dokumentierter Erkenntnisbarrieren.</w:t>
      </w:r>
    </w:p>
    <w:p>
      <w:pPr>
        <w:pStyle w:val="Heading3"/>
        <w:keepNext/>
        <w:ind w:firstLine="0"/>
      </w:pPr>
      <w:r>
        <w:t>7. Programmbeschwerde und Gremienkontrolle lösen das Problem nicht</w:t>
      </w:r>
    </w:p>
    <w:p>
      <w:pPr>
        <w:jc w:val="both"/>
      </w:pPr>
      <w:r>
        <w:rPr>
          <w:rFonts w:ascii="Times New Roman" w:hAnsi="Times New Roman"/>
          <w:b w:val="0"/>
          <w:i w:val="0"/>
          <w:sz w:val="23"/>
        </w:rPr>
        <w:t>Das Bundesverwaltungsgericht hat ausdrücklich entschieden, dass ein Kläger mit einem substantiierten Einwand nicht lediglich auf Programmbeschwerde oder Gremienkontrolle verwiesen werden kann. Unabhängig davon legt das Rundfunkalarm-Gutachten einen erheblichen empirischen Tatsachenbestand zur praktischen Wirksamkeit dieses Weges vor. Der Beschwerdeweg wurde in großem Umfang genutzt; im ausgewerteten Material ist gleichwohl keine nach außen dokumentierte Korrekturwirkung der höchsten Wirkungsstufen erkennbar.</w:t>
      </w:r>
    </w:p>
    <w:p>
      <w:pPr>
        <w:jc w:val="both"/>
      </w:pPr>
      <w:r>
        <w:rPr>
          <w:rFonts w:ascii="Times New Roman" w:hAnsi="Times New Roman"/>
          <w:b w:val="0"/>
          <w:i w:val="0"/>
          <w:sz w:val="23"/>
        </w:rPr>
        <w:t>Der Kläger stützt seinen Feststellungsantrag daher nicht darauf, dass Rundfunkräte generell „wirkungslos“ seien. Er macht den engeren Punkt geltend: Der Beschwerdeweg ist weder nach der höchstrichterlichen Rechtsprechung noch nach dem vorliegenden empirischen Material eine gleichwertige Ersatzquelle für die wissenschaftliche Rekonstruktion des Gesamtprogramms.</w:t>
      </w:r>
    </w:p>
    <w:p>
      <w:pPr>
        <w:pStyle w:val="Heading3"/>
        <w:keepNext/>
        <w:ind w:firstLine="0"/>
      </w:pPr>
      <w:r>
        <w:t>8. Die Beklagte kann sich nicht gleichzeitig auf fehlende Substantiierung und vollständige Erkenntnisferne des Klägers berufen</w:t>
      </w:r>
    </w:p>
    <w:p>
      <w:pPr>
        <w:jc w:val="both"/>
      </w:pPr>
      <w:r>
        <w:rPr>
          <w:rFonts w:ascii="Times New Roman" w:hAnsi="Times New Roman"/>
          <w:b w:val="0"/>
          <w:i w:val="0"/>
          <w:sz w:val="23"/>
        </w:rPr>
        <w:t>Die Beklagte muss die vom Bundesverwaltungsgericht entwickelte Substantiierungsschwelle nicht selbst geschaffen haben. Sie kann sich im Beitragsrechtsstreit jedoch darauf berufen und tut dies typischerweise. Wenn sie gleichzeitig den in ihrer Sphäre vorhandenen wissenschaftlichen Zugang ablehnt, entsteht ein struktureller Widerspruch: Die fehlende Erkenntnis wird zum Einwand gegen den Bürger, obwohl der Bürger gerade den Zugang zu den Erkenntnisquellen beantragt und die Ablehnung dokumentiert hat.</w:t>
      </w:r>
    </w:p>
    <w:p>
      <w:pPr>
        <w:jc w:val="both"/>
      </w:pPr>
      <w:r>
        <w:rPr>
          <w:rFonts w:ascii="Times New Roman" w:hAnsi="Times New Roman"/>
          <w:b w:val="0"/>
          <w:i w:val="0"/>
          <w:sz w:val="23"/>
        </w:rPr>
        <w:t>Die begehrte Feststellung beseitigt diesen Widerspruch nicht durch eine Beweislastumkehr. Sie legt lediglich fest, dass die Beklagte aus einer von ihr beziehungsweise dem öffentlich-rechtlichen Rundfunksystem mitverursachten und nachweislich nicht beseitigten Erkenntnislücke keinen uneingeschränkten prozessualen Vorteil ziehen darf.</w:t>
      </w:r>
    </w:p>
    <w:p>
      <w:pPr>
        <w:pStyle w:val="Heading2"/>
        <w:keepNext/>
        <w:ind w:firstLine="0"/>
      </w:pPr>
      <w:r>
        <w:t>X. Warum das frühere Scheitern des Beitragsverfahrens die Klage stützt und nicht entkräftet</w:t>
      </w:r>
    </w:p>
    <w:p>
      <w:pPr>
        <w:jc w:val="both"/>
      </w:pPr>
      <w:r>
        <w:rPr>
          <w:rFonts w:ascii="Times New Roman" w:hAnsi="Times New Roman"/>
          <w:b w:val="0"/>
          <w:i w:val="0"/>
          <w:sz w:val="23"/>
        </w:rPr>
        <w:t>Der Kläger verschweigt nicht, dass er mit seiner früheren Beitragsklage erfolglos geblieben ist. Gerade dies gehört zum Tatsachenbild. Die vier Untersuchungen lagen bereits vor; dennoch kam es nicht zu einer vollständigen wissenschaftlichen Gesamtprogrammprüfung. Der Kläger hat daraus die Konsequenz gezogen, die vorgelagerte Erkenntnisfrage praktisch zu testen.</w:t>
      </w:r>
    </w:p>
    <w:p>
      <w:pPr>
        <w:jc w:val="both"/>
      </w:pPr>
      <w:r>
        <w:rPr>
          <w:rFonts w:ascii="Times New Roman" w:hAnsi="Times New Roman"/>
          <w:b w:val="0"/>
          <w:i w:val="0"/>
          <w:sz w:val="23"/>
        </w:rPr>
        <w:t>Er hat also nicht denselben Vortrag lediglich wiederholt. Er hat eine neue Tatsachenschicht geschaffen: konkrete, standardisierte und abgestufte Zugangsbegehren sowie deren vollständige Ablehnung. Erst dadurch kann die bislang theoretische Annahme, die wissenschaftliche Hürde sei praktisch überwindbar, an der tatsächlichen Wirklichkeit geprüft werden.</w:t>
      </w:r>
    </w:p>
    <w:p>
      <w:pPr>
        <w:jc w:val="both"/>
      </w:pPr>
      <w:r>
        <w:rPr>
          <w:rFonts w:ascii="Times New Roman" w:hAnsi="Times New Roman"/>
          <w:b w:val="0"/>
          <w:i w:val="0"/>
          <w:sz w:val="23"/>
        </w:rPr>
        <w:t>Die neue Klage ist daher kein zweiter Versuch, den alten Beitragsbescheid anzugreifen. Sie ist die gerichtliche Klärung der Frage, welche Folgerung aus dem inzwischen dokumentierten Scheitern sämtlicher naheliegender Erkenntniswege für die Zukunft gezogen werden muss.</w:t>
      </w:r>
    </w:p>
    <w:p>
      <w:pPr>
        <w:pStyle w:val="Heading2"/>
        <w:keepNext/>
        <w:ind w:firstLine="0"/>
      </w:pPr>
      <w:r>
        <w:t>XI. Bundesweite Bedeutung ohne Aufgabe der individuellen Rechtsposition</w:t>
      </w:r>
    </w:p>
    <w:p>
      <w:pPr>
        <w:jc w:val="both"/>
      </w:pPr>
      <w:r>
        <w:rPr>
          <w:rFonts w:ascii="Times New Roman" w:hAnsi="Times New Roman"/>
          <w:b w:val="0"/>
          <w:i w:val="0"/>
          <w:sz w:val="23"/>
        </w:rPr>
        <w:t>Die hier aufgeworfene Rechtsfrage tritt nicht nur im Einzelfall auf. Gleichgelagerte Fälle werden bundesweit dokumentiert und nach einheitlichen Kriterien ausgewertet. Daraus folgt jedoch keine Popularklage. Jeder Kläger macht ein eigenes beitragsrechtliches Rechtsverhältnis, ein eigenes abgeschlossenes Vorverfahren und eigene abgelehnte Zugangsbegehren geltend.</w:t>
      </w:r>
    </w:p>
    <w:p>
      <w:pPr>
        <w:jc w:val="both"/>
      </w:pPr>
      <w:r>
        <w:rPr>
          <w:rFonts w:ascii="Times New Roman" w:hAnsi="Times New Roman"/>
          <w:b w:val="0"/>
          <w:i w:val="0"/>
          <w:sz w:val="23"/>
        </w:rPr>
        <w:t>Die koordinierte Dokumentation hat lediglich einen Erkenntniszweck: Sie soll sichtbar machen, ob der vom Bundesverwaltungsgericht eröffnete Rechtsschutz unter den tatsächlichen Bedingungen praktisch funktioniert. Für die Entscheidung dieses Verfahrens bleibt allein die konkrete Situation des hiesigen Klägers maßgeblich.</w:t>
      </w:r>
    </w:p>
    <w:p>
      <w:pPr>
        <w:pStyle w:val="Heading2"/>
        <w:keepNext/>
        <w:ind w:firstLine="0"/>
      </w:pPr>
      <w:r>
        <w:t>XII. Aufklärungsanregungen</w:t>
      </w:r>
    </w:p>
    <w:p>
      <w:pPr>
        <w:jc w:val="both"/>
      </w:pPr>
      <w:r>
        <w:rPr>
          <w:rFonts w:ascii="Times New Roman" w:hAnsi="Times New Roman"/>
          <w:b w:val="0"/>
          <w:i w:val="0"/>
          <w:sz w:val="23"/>
        </w:rPr>
        <w:t>Soweit das Gericht für die Entscheidung weitere Tatsachenfeststellungen für erforderlich hält, regt der Kläger insbesondere an, aufzuklären:</w:t>
      </w:r>
    </w:p>
    <w:p>
      <w:pPr>
        <w:pStyle w:val="ListNumber"/>
        <w:spacing w:after="60"/>
        <w:ind w:left="454" w:hanging="227"/>
      </w:pPr>
      <w:r>
        <w:rPr>
          <w:rFonts w:ascii="Times New Roman" w:hAnsi="Times New Roman"/>
          <w:sz w:val="23"/>
        </w:rPr>
        <w:t>welche der vom Kläger beantragten Datenkategorien bei der Beklagten tatsächlich vorhanden sind;</w:t>
      </w:r>
    </w:p>
    <w:p>
      <w:pPr>
        <w:pStyle w:val="ListNumber"/>
        <w:spacing w:after="60"/>
        <w:ind w:left="454" w:hanging="227"/>
      </w:pPr>
      <w:r>
        <w:rPr>
          <w:rFonts w:ascii="Times New Roman" w:hAnsi="Times New Roman"/>
          <w:sz w:val="23"/>
        </w:rPr>
        <w:t>welche davon dauerhaft archiviert, welche depubliziert und welche nach internen Fristen gelöscht werden;</w:t>
      </w:r>
    </w:p>
    <w:p>
      <w:pPr>
        <w:pStyle w:val="ListNumber"/>
        <w:spacing w:after="60"/>
        <w:ind w:left="454" w:hanging="227"/>
      </w:pPr>
      <w:r>
        <w:rPr>
          <w:rFonts w:ascii="Times New Roman" w:hAnsi="Times New Roman"/>
          <w:sz w:val="23"/>
        </w:rPr>
        <w:t>welche wissenschaftlichen Zugangsformen die Beklagte tatsächlich anbietet und unter welchen Voraussetzungen;</w:t>
      </w:r>
    </w:p>
    <w:p>
      <w:pPr>
        <w:pStyle w:val="ListNumber"/>
        <w:spacing w:after="60"/>
        <w:ind w:left="454" w:hanging="227"/>
      </w:pPr>
      <w:r>
        <w:rPr>
          <w:rFonts w:ascii="Times New Roman" w:hAnsi="Times New Roman"/>
          <w:sz w:val="23"/>
        </w:rPr>
        <w:t>weshalb Bestandsauskunft, Pilotzugang, Präsenzsichtung, Metadatenzugang oder ein geschützter Datenraum im konkreten Fall nicht eröffnet wurden;</w:t>
      </w:r>
    </w:p>
    <w:p>
      <w:pPr>
        <w:pStyle w:val="ListNumber"/>
        <w:spacing w:after="60"/>
        <w:ind w:left="454" w:hanging="227"/>
      </w:pPr>
      <w:r>
        <w:rPr>
          <w:rFonts w:ascii="Times New Roman" w:hAnsi="Times New Roman"/>
          <w:sz w:val="23"/>
        </w:rPr>
        <w:t>welchen tatsächlich praktikablen alternativen Erkenntnisweg die Beklagte einem einzelnen Beitragspflichtigen benennt, um den vom Bundesverwaltungsgericht beschriebenen Gesamtprogrammmaßstab wissenschaftlich belastbar zu untersuchen;</w:t>
      </w:r>
    </w:p>
    <w:p>
      <w:pPr>
        <w:pStyle w:val="ListNumber"/>
        <w:spacing w:after="60"/>
        <w:ind w:left="454" w:hanging="227"/>
      </w:pPr>
      <w:r>
        <w:rPr>
          <w:rFonts w:ascii="Times New Roman" w:hAnsi="Times New Roman"/>
          <w:sz w:val="23"/>
        </w:rPr>
        <w:t>ob und in welchem Umfang die Beklagte selbst über strukturierte Programm-, Archiv-, Untertitel-, Transkript- oder Erschließungsdaten verfügt, die eine wissenschaftliche Langzeitanalyse erleichtern.</w:t>
      </w:r>
    </w:p>
    <w:p>
      <w:pPr>
        <w:jc w:val="both"/>
      </w:pPr>
      <w:r>
        <w:rPr>
          <w:rFonts w:ascii="Times New Roman" w:hAnsi="Times New Roman"/>
          <w:b w:val="0"/>
          <w:i w:val="0"/>
          <w:sz w:val="23"/>
        </w:rPr>
        <w:t>Diese Fragen dienen nicht der Ausforschung einer behaupteten materiellen Programmverletzung. Sie betreffen unmittelbar den hier streitigen Tatsachenkern: die praktische Erreichbarkeit des vom Bundesverwaltungsgericht vorausgesetzten Erkenntnisniveaus.</w:t>
      </w:r>
    </w:p>
    <w:p>
      <w:pPr>
        <w:pStyle w:val="Heading2"/>
        <w:keepNext/>
        <w:ind w:firstLine="0"/>
      </w:pPr>
      <w:r>
        <w:t>XIII. Beweismittel</w:t>
      </w:r>
    </w:p>
    <w:p>
      <w:pPr>
        <w:jc w:val="both"/>
      </w:pPr>
      <w:r>
        <w:rPr>
          <w:rFonts w:ascii="Times New Roman" w:hAnsi="Times New Roman"/>
          <w:b w:val="0"/>
          <w:i w:val="0"/>
          <w:sz w:val="23"/>
        </w:rPr>
        <w:t>Zum Beweis der tatsächlichen Ausgangslage werden insbesondere angeboten:</w:t>
      </w:r>
    </w:p>
    <w:p>
      <w:pPr>
        <w:pStyle w:val="ListNumber"/>
        <w:spacing w:after="60"/>
        <w:ind w:left="454" w:hanging="227"/>
      </w:pPr>
      <w:r>
        <w:rPr>
          <w:rFonts w:ascii="Times New Roman" w:hAnsi="Times New Roman"/>
          <w:sz w:val="23"/>
        </w:rPr>
        <w:t>das rechtskräftig abgeschlossene frühere Beitragsverfahren des Klägers, einschließlich der Gerichtsakte [Az.];</w:t>
      </w:r>
    </w:p>
    <w:p>
      <w:pPr>
        <w:pStyle w:val="ListNumber"/>
        <w:spacing w:after="60"/>
        <w:ind w:left="454" w:hanging="227"/>
      </w:pPr>
      <w:r>
        <w:rPr>
          <w:rFonts w:ascii="Times New Roman" w:hAnsi="Times New Roman"/>
          <w:sz w:val="23"/>
        </w:rPr>
        <w:t>die vier bereits im früheren Verfahren vorgelegten Untersuchungen;</w:t>
      </w:r>
    </w:p>
    <w:p>
      <w:pPr>
        <w:pStyle w:val="ListNumber"/>
        <w:spacing w:after="60"/>
        <w:ind w:left="454" w:hanging="227"/>
      </w:pPr>
      <w:r>
        <w:rPr>
          <w:rFonts w:ascii="Times New Roman" w:hAnsi="Times New Roman"/>
          <w:sz w:val="23"/>
        </w:rPr>
        <w:t>die konkreten wissenschaftlichen Zugangs-, Archiv-, Sicherungs- und Erinnerungsanträge des Klägers;</w:t>
      </w:r>
    </w:p>
    <w:p>
      <w:pPr>
        <w:pStyle w:val="ListNumber"/>
        <w:spacing w:after="60"/>
        <w:ind w:left="454" w:hanging="227"/>
      </w:pPr>
      <w:r>
        <w:rPr>
          <w:rFonts w:ascii="Times New Roman" w:hAnsi="Times New Roman"/>
          <w:sz w:val="23"/>
        </w:rPr>
        <w:t>die vollständigen Ablehnungsschreiben der zuständigen Landesrundfunkanstalt, des ZDF, des Deutschlandradios und des Rundfunkarchivs;</w:t>
      </w:r>
    </w:p>
    <w:p>
      <w:pPr>
        <w:pStyle w:val="ListNumber"/>
        <w:spacing w:after="60"/>
        <w:ind w:left="454" w:hanging="227"/>
      </w:pPr>
      <w:r>
        <w:rPr>
          <w:rFonts w:ascii="Times New Roman" w:hAnsi="Times New Roman"/>
          <w:sz w:val="23"/>
        </w:rPr>
        <w:t>hilfsweise die Beiziehung der bei den genannten Stellen geführten Vorgänge zu den Anträgen des Klägers;</w:t>
      </w:r>
    </w:p>
    <w:p>
      <w:pPr>
        <w:pStyle w:val="ListNumber"/>
        <w:spacing w:after="60"/>
        <w:ind w:left="454" w:hanging="227"/>
      </w:pPr>
      <w:r>
        <w:rPr>
          <w:rFonts w:ascii="Times New Roman" w:hAnsi="Times New Roman"/>
          <w:sz w:val="23"/>
        </w:rPr>
        <w:t>gegebenenfalls eine ergänzende tabellarische Dokumentation gleichgelagerter verwaltungsgerichtlicher Verfahren, soweit das Gericht die bundesweite tatsächliche Praxis für erheblich hält.</w:t>
      </w:r>
    </w:p>
    <w:p>
      <w:pPr>
        <w:pStyle w:val="Heading2"/>
        <w:keepNext/>
        <w:ind w:firstLine="0"/>
      </w:pPr>
      <w:r>
        <w:t>XIV. Schlussfolgerung</w:t>
      </w:r>
    </w:p>
    <w:p>
      <w:pPr>
        <w:jc w:val="both"/>
      </w:pPr>
      <w:r>
        <w:rPr>
          <w:rFonts w:ascii="Times New Roman" w:hAnsi="Times New Roman"/>
          <w:b w:val="0"/>
          <w:i w:val="0"/>
          <w:sz w:val="23"/>
        </w:rPr>
        <w:t>Die vorliegende Klage verlangt keine Entscheidung darüber, ob der öffentlich-rechtliche Rundfunk seinen Funktionsauftrag materiell verletzt hat. Sie verlangt auch keine Wiederaufnahme des abgeschlossenen Beitragsverfahrens. Sie stellt eine einzige, vorgelagerte Frage:</w:t>
      </w:r>
    </w:p>
    <w:p>
      <w:pPr>
        <w:pStyle w:val="QuoteLegal"/>
        <w:jc w:val="both"/>
      </w:pPr>
      <w:r>
        <w:rPr>
          <w:rFonts w:ascii="Times New Roman" w:hAnsi="Times New Roman"/>
          <w:i/>
          <w:sz w:val="22"/>
        </w:rPr>
        <w:t>Kann einem Beitragspflichtigen das Fehlen eines wissenschaftlich belastbaren Gesamtprogramm-Nachweises entgegengehalten werden, wenn er die hierfür konkret benötigten Erkenntniszugänge bei allen praktisch in Betracht kommenden datenhaltenden Stellen des öffentlich-rechtlichen Rundfunks beantragt hat, sämtliche Zugänge abgelehnt wurden und kein gleichwertiger alternativer Erkenntnisweg eröffnet ist?</w:t>
      </w:r>
    </w:p>
    <w:p>
      <w:pPr>
        <w:jc w:val="both"/>
      </w:pPr>
      <w:r>
        <w:rPr>
          <w:rFonts w:ascii="Times New Roman" w:hAnsi="Times New Roman"/>
          <w:b w:val="0"/>
          <w:i w:val="0"/>
          <w:sz w:val="23"/>
        </w:rPr>
        <w:t>Das Bundesverwaltungsgericht hat den programmbasierten Einwand eröffnet, die wissenschaftliche Substantiierung grundsätzlich verlangt und zugleich erklärt, die Hürde sei nicht unüberwindbar. Der Kläger hat diese Überwindbarkeit praktisch erprobt. Gerade deshalb ist die Frage nun entscheidungsreif, welche rechtliche Folge die dokumentierte Erkenntnisbarriere für das beitragsrechtliche Rechtsverhältnis hat.</w:t>
      </w:r>
    </w:p>
    <w:p>
      <w:pPr>
        <w:jc w:val="both"/>
      </w:pPr>
      <w:r>
        <w:rPr>
          <w:rFonts w:ascii="Times New Roman" w:hAnsi="Times New Roman"/>
          <w:b w:val="0"/>
          <w:i w:val="0"/>
          <w:sz w:val="23"/>
        </w:rPr>
        <w:t>Ein Rechtsweg, der in der Theorie eröffnet ist, darf nicht allein deshalb ohne Sachprüfung bleiben, weil die für seine Nutzung verlangte Erkenntnisqualität unter den tatsächlich bestehenden Zugangsbedingungen nicht erreichbar ist. Die begehrte Feststellung soll weder das Beweisrecht abschaffen noch die Rundfunkfreiheit verkürzen. Sie soll verhindern, dass die fehlende Erkenntnismöglichkeit selbst zum Grund dafür wird, den höchstrichterlich eröffneten Einwand dauerhaft von der gerichtlichen Sachprüfung fernzuhalten.</w:t>
      </w:r>
    </w:p>
    <w:p>
      <w:pPr>
        <w:pStyle w:val="Heading2"/>
        <w:keepNext/>
        <w:ind w:firstLine="0"/>
      </w:pPr>
      <w:r>
        <w:t>XV. Streitwert</w:t>
      </w:r>
    </w:p>
    <w:p>
      <w:pPr>
        <w:jc w:val="both"/>
      </w:pPr>
      <w:r>
        <w:rPr>
          <w:rFonts w:ascii="Times New Roman" w:hAnsi="Times New Roman"/>
          <w:b w:val="0"/>
          <w:i w:val="0"/>
          <w:sz w:val="23"/>
        </w:rPr>
        <w:t>Mangels eines unmittelbar bezifferbaren wirtschaftlichen Interesses wird angeregt, den Streitwert nach § 52 Abs. 2 GKG mit 5.000 EUR anzusetzen, soweit das Gericht keine hinreichenden anderen Anhaltspunkte für die Bedeutung der Sache sieht.</w:t>
      </w:r>
    </w:p>
    <w:p>
      <w:pPr>
        <w:jc w:val="both"/>
      </w:pPr>
      <w:r>
        <w:rPr>
          <w:rFonts w:ascii="Times New Roman" w:hAnsi="Times New Roman"/>
          <w:b w:val="0"/>
          <w:i w:val="0"/>
          <w:sz w:val="23"/>
        </w:rPr>
        <w:br/>
        <w:t>[Ort], den [Datum]</w:t>
      </w:r>
    </w:p>
    <w:p>
      <w:pPr>
        <w:jc w:val="both"/>
      </w:pPr>
      <w:r>
        <w:rPr>
          <w:rFonts w:ascii="Times New Roman" w:hAnsi="Times New Roman"/>
          <w:b w:val="0"/>
          <w:i w:val="0"/>
          <w:sz w:val="23"/>
        </w:rPr>
        <w:t>[Unterschrift]</w:t>
      </w:r>
    </w:p>
    <w:p>
      <w:pPr>
        <w:jc w:val="both"/>
      </w:pPr>
      <w:r>
        <w:rPr>
          <w:rFonts w:ascii="Times New Roman" w:hAnsi="Times New Roman"/>
          <w:b w:val="0"/>
          <w:i w:val="0"/>
          <w:sz w:val="23"/>
        </w:rPr>
        <w:t>[Name des Klägers / Bevollmächtigten]</w:t>
      </w:r>
    </w:p>
    <w:p>
      <w:pPr>
        <w:jc w:val="both"/>
      </w:pPr>
      <w:r>
        <w:br w:type="page"/>
      </w:r>
    </w:p>
    <w:p>
      <w:pPr>
        <w:pStyle w:val="Heading1"/>
        <w:keepNext/>
        <w:ind w:firstLine="0"/>
      </w:pPr>
      <w:r>
        <w:t>Anlagenverzeichnis</w:t>
      </w:r>
    </w:p>
    <w:tbl>
      <w:tblPr>
        <w:tblW w:type="auto" w:w="0"/>
        <w:jc w:val="center"/>
        <w:tblLayout w:type="fixed"/>
        <w:tblLook w:firstColumn="1" w:firstRow="1" w:lastColumn="0" w:lastRow="0" w:noHBand="0" w:noVBand="1" w:val="04A0"/>
      </w:tblPr>
      <w:tblGrid>
        <w:gridCol w:w="1134"/>
        <w:gridCol w:w="7654"/>
      </w:tblGrid>
      <w:tr>
        <w:tc>
          <w:tcPr>
            <w:tcW w:type="dxa" w:w="4703"/>
            <w:vAlign w:val="center"/>
            <w:tcMar>
              <w:top w:w="80" w:type="dxa"/>
              <w:left w:w="80" w:type="dxa"/>
              <w:bottom w:w="80" w:type="dxa"/>
              <w:right w:w="80" w:type="dxa"/>
            </w:tcMar>
          </w:tcPr>
          <w:p>
            <w:pPr>
              <w:jc w:val="left"/>
            </w:pPr>
            <w:r>
              <w:rPr>
                <w:rFonts w:ascii="Times New Roman" w:hAnsi="Times New Roman"/>
                <w:b/>
                <w:sz w:val="22"/>
              </w:rPr>
              <w:t>Anlage</w:t>
            </w:r>
          </w:p>
        </w:tc>
        <w:tc>
          <w:tcPr>
            <w:tcW w:type="dxa" w:w="4703"/>
            <w:vAlign w:val="center"/>
            <w:tcMar>
              <w:top w:w="80" w:type="dxa"/>
              <w:left w:w="80" w:type="dxa"/>
              <w:bottom w:w="80" w:type="dxa"/>
              <w:right w:w="80" w:type="dxa"/>
            </w:tcMar>
          </w:tcPr>
          <w:p>
            <w:pPr>
              <w:jc w:val="left"/>
            </w:pPr>
            <w:r>
              <w:rPr>
                <w:rFonts w:ascii="Times New Roman" w:hAnsi="Times New Roman"/>
                <w:b/>
                <w:sz w:val="22"/>
              </w:rPr>
              <w:t>Bezeichnung</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Urteil/Beschluss im früheren Rundfunkbeitragsverfahren des Klägers, VG [Ort], Az. [Az.], vom [Datum]</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2</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V-Gutachten zur empirischen Überprüfbarkeit des publizistischen Vielfaltauftrags, Version 1.3</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3</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Gutachten Rundfunkalarm – Programmbeschwerden und Gremienkontrolle, gerichtliche Fassung vom 27.06.2026</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4</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Kurzgutachten zur gerichtlichen Kontrolle des gesetzlichen Funktionsauftrags, Version 1.0 vom 16.07.2026</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5</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Wissenschaftliche Grundlagenuntersuchung „Erkenntnis als Voraussetzung des Beweises“, Version 1.0 vom 16.07.2026</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6</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Antrag des Klägers an die zuständige Landesrundfunkanstalt auf wissenschaftlich geeigneten Zugang</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7</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Antrag des Klägers an das ZDF</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8</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Antrag des Klägers an Deutschlandradio</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9</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Antrag des Klägers auf wissenschaftlichen Archiv- und Forschungszugang</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10</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Gesonderter Antrag auf Datensicherung sowie zentrale Forschungsanlage</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11</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Ablehnungsschreiben der zuständigen Landesrundfunkanstalt</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12</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Ablehnungsschreiben des ZDF</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13</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Ablehnungsschreiben des Deutschlandradios</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14</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Ablehnungsschreiben des Rundfunkarchivs / DRA</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15</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Erinnerungsschreiben und abschließende Antworten/Ablehnungen zu Pilotzugang, Metadaten und Datensicherung</w:t>
            </w:r>
          </w:p>
        </w:tc>
      </w:tr>
      <w:tr>
        <w:tc>
          <w:tcPr>
            <w:tcW w:type="dxa" w:w="1134"/>
            <w:vAlign w:val="center"/>
            <w:tcMar>
              <w:top w:w="80" w:type="dxa"/>
              <w:left w:w="80" w:type="dxa"/>
              <w:bottom w:w="80" w:type="dxa"/>
              <w:right w:w="80" w:type="dxa"/>
            </w:tcMar>
          </w:tcPr>
          <w:p>
            <w:pPr>
              <w:spacing w:after="0"/>
              <w:ind w:firstLine="0"/>
            </w:pPr>
            <w:r>
              <w:rPr>
                <w:rFonts w:ascii="Times New Roman" w:hAnsi="Times New Roman"/>
                <w:sz w:val="21"/>
              </w:rPr>
              <w:t>K 16</w:t>
            </w:r>
          </w:p>
        </w:tc>
        <w:tc>
          <w:tcPr>
            <w:tcW w:type="dxa" w:w="7654"/>
            <w:vAlign w:val="center"/>
            <w:tcMar>
              <w:top w:w="80" w:type="dxa"/>
              <w:left w:w="80" w:type="dxa"/>
              <w:bottom w:w="80" w:type="dxa"/>
              <w:right w:w="80" w:type="dxa"/>
            </w:tcMar>
          </w:tcPr>
          <w:p>
            <w:pPr>
              <w:spacing w:after="0"/>
              <w:ind w:firstLine="0"/>
            </w:pPr>
            <w:r>
              <w:rPr>
                <w:rFonts w:ascii="Times New Roman" w:hAnsi="Times New Roman"/>
                <w:sz w:val="21"/>
              </w:rPr>
              <w:t>optional: Übersicht der bereits abgeschlossenen gleichgelagerten Beitragsverfahren und gerichtlichen Reaktionen</w:t>
            </w:r>
          </w:p>
        </w:tc>
      </w:tr>
    </w:tbl>
    <w:sectPr w:rsidR="00FC693F" w:rsidRPr="0006063C" w:rsidSect="00034616">
      <w:footerReference w:type="default" r:id="rId9"/>
      <w:pgSz w:w="12240" w:h="15840"/>
      <w:pgMar w:top="124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Seite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Times New Roman" w:hAnsi="Times New Roman"/>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Times New Roman" w:hAnsi="Times New Roman"/>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ubrum">
    <w:name w:val="Rubrum"/>
    <w:pPr>
      <w:spacing w:after="40"/>
    </w:pPr>
    <w:rPr>
      <w:rFonts w:ascii="Times New Roman" w:hAnsi="Times New Roman"/>
      <w:sz w:val="23"/>
    </w:rPr>
  </w:style>
  <w:style w:type="paragraph" w:customStyle="1" w:styleId="QuoteLegal">
    <w:name w:val="QuoteLegal"/>
    <w:pPr>
      <w:spacing w:before="100" w:after="100"/>
      <w:ind w:left="454" w:right="283"/>
    </w:pPr>
    <w:rPr>
      <w:rFonts w:ascii="Times New Roman" w:hAnsi="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Muster-Feststellungsklage – Effektiver Rechtsschutz im Rundfunkbeitragsrecht</dc:title>
  <dc:subject>Feststellung der rechtlichen Folgen verweigerter Erkenntniszugänge für den Substantiierungsmaßstab nach BVerwG 6 C 5.24</dc:subject>
  <dc:creator/>
  <cp:keywords>Rundfunkbeitrag, Feststellungsklage, Art. 19 Abs. 4 GG, § 43 VwGO, BVerwG 6 C 5.24</cp:keywords>
  <dc:description>generated by python-docx</dc:description>
  <cp:lastModifiedBy/>
  <cp:revision>1</cp:revision>
  <dcterms:created xsi:type="dcterms:W3CDTF">2013-12-23T23:15:00Z</dcterms:created>
  <dcterms:modified xsi:type="dcterms:W3CDTF">2013-12-23T23:15:00Z</dcterms:modified>
  <cp:category/>
</cp:coreProperties>
</file>