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EC89FB"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 xml:space="preserve">Ja. Nach Sichtung des Düsseldorfer Urteils, der Feststellungsklage, der vier großen Gutachten und der Zugangs-/Archivstrategie halte ich die neue Linie für </w:t>
      </w:r>
      <w:r w:rsidRPr="00AE6C5D">
        <w:rPr>
          <w:rFonts w:ascii="Times New Roman" w:eastAsia="Times New Roman" w:hAnsi="Times New Roman" w:cs="Times New Roman"/>
          <w:b/>
          <w:bCs/>
          <w:kern w:val="0"/>
          <w:lang w:eastAsia="de-DE"/>
          <w14:ligatures w14:val="none"/>
        </w:rPr>
        <w:t>deutlich stärker als eine weitere Beitragsklage</w:t>
      </w:r>
      <w:r w:rsidRPr="00AE6C5D">
        <w:rPr>
          <w:rFonts w:ascii="Times New Roman" w:eastAsia="Times New Roman" w:hAnsi="Times New Roman" w:cs="Times New Roman"/>
          <w:kern w:val="0"/>
          <w:lang w:eastAsia="de-DE"/>
          <w14:ligatures w14:val="none"/>
        </w:rPr>
        <w:t>. Aber ich würde sie an einem Punkt anders beschreiben:</w:t>
      </w:r>
    </w:p>
    <w:p w14:paraId="6A760972"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 xml:space="preserve">Ihr wollt mit den 51 Verfahren </w:t>
      </w:r>
      <w:r w:rsidRPr="00AE6C5D">
        <w:rPr>
          <w:rFonts w:ascii="Times New Roman" w:eastAsia="Times New Roman" w:hAnsi="Times New Roman" w:cs="Times New Roman"/>
          <w:b/>
          <w:bCs/>
          <w:kern w:val="0"/>
          <w:lang w:eastAsia="de-DE"/>
          <w14:ligatures w14:val="none"/>
        </w:rPr>
        <w:t>nicht beweisen, dass der Rundfunk unausgewogen ist</w:t>
      </w:r>
      <w:r w:rsidRPr="00AE6C5D">
        <w:rPr>
          <w:rFonts w:ascii="Times New Roman" w:eastAsia="Times New Roman" w:hAnsi="Times New Roman" w:cs="Times New Roman"/>
          <w:kern w:val="0"/>
          <w:lang w:eastAsia="de-DE"/>
          <w14:ligatures w14:val="none"/>
        </w:rPr>
        <w:t xml:space="preserve">. Ihr wollt empirisch und gerichtlich klären, ob der vom BVerwG eröffnete Rechtsschutzweg </w:t>
      </w:r>
      <w:r w:rsidRPr="00AE6C5D">
        <w:rPr>
          <w:rFonts w:ascii="Times New Roman" w:eastAsia="Times New Roman" w:hAnsi="Times New Roman" w:cs="Times New Roman"/>
          <w:b/>
          <w:bCs/>
          <w:kern w:val="0"/>
          <w:lang w:eastAsia="de-DE"/>
          <w14:ligatures w14:val="none"/>
        </w:rPr>
        <w:t>praktisch erreichbar ist</w:t>
      </w:r>
      <w:r w:rsidRPr="00AE6C5D">
        <w:rPr>
          <w:rFonts w:ascii="Times New Roman" w:eastAsia="Times New Roman" w:hAnsi="Times New Roman" w:cs="Times New Roman"/>
          <w:kern w:val="0"/>
          <w:lang w:eastAsia="de-DE"/>
          <w14:ligatures w14:val="none"/>
        </w:rPr>
        <w:t>.</w:t>
      </w:r>
    </w:p>
    <w:p w14:paraId="4D553B26"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Genau dafür ist das Düsseldorfer Urteil bemerkenswert hilfreich.</w:t>
      </w:r>
    </w:p>
    <w:p w14:paraId="59CAFE64" w14:textId="77777777" w:rsidR="00AE6C5D" w:rsidRPr="00AE6C5D" w:rsidRDefault="00AE6C5D" w:rsidP="00AE6C5D">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AE6C5D">
        <w:rPr>
          <w:rFonts w:ascii="Times New Roman" w:eastAsia="Times New Roman" w:hAnsi="Times New Roman" w:cs="Times New Roman"/>
          <w:b/>
          <w:bCs/>
          <w:kern w:val="0"/>
          <w:sz w:val="36"/>
          <w:szCs w:val="36"/>
          <w:lang w:eastAsia="de-DE"/>
          <w14:ligatures w14:val="none"/>
        </w:rPr>
        <w:t>Was Düsseldorf euch praktisch geliefert hat</w:t>
      </w:r>
    </w:p>
    <w:p w14:paraId="5B8E1725"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 xml:space="preserve">Das VG Düsseldorf übernimmt ausdrücklich die neue Linie des BVerwG: Ein programmbasierter Einwand kann erheblich sein, wenn das Gesamtprogramm über längere Zeit evidente und regelmäßige Defizite bei Vielfalt und Ausgewogenheit aufweist. Für die gerichtliche Aufklärung werde regelmäßig ein </w:t>
      </w:r>
      <w:r w:rsidRPr="00AE6C5D">
        <w:rPr>
          <w:rFonts w:ascii="Times New Roman" w:eastAsia="Times New Roman" w:hAnsi="Times New Roman" w:cs="Times New Roman"/>
          <w:b/>
          <w:bCs/>
          <w:kern w:val="0"/>
          <w:lang w:eastAsia="de-DE"/>
          <w14:ligatures w14:val="none"/>
        </w:rPr>
        <w:t>wissenschaftlichen Anforderungen genügendes Gutachten</w:t>
      </w:r>
      <w:r w:rsidRPr="00AE6C5D">
        <w:rPr>
          <w:rFonts w:ascii="Times New Roman" w:eastAsia="Times New Roman" w:hAnsi="Times New Roman" w:cs="Times New Roman"/>
          <w:kern w:val="0"/>
          <w:lang w:eastAsia="de-DE"/>
          <w14:ligatures w14:val="none"/>
        </w:rPr>
        <w:t xml:space="preserve"> erforderlich sein. Das Gericht hält den damaligen Vortrag aber gerade deshalb für unzureichend, weil keine belastbare Gesamtprogrammanalyse für den maßgeblichen Zeitraum vorlag und insbesondere nicht ausreichend belegt worden sei, dass die hierfür erforderlichen Programmdaten konkret angefordert worden waren.</w:t>
      </w:r>
    </w:p>
    <w:p w14:paraId="751AD7F4"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Auf der nächsten Seite wird es noch interessanter: Das Gericht lehnt eine sekundäre Darlegungslast des Rundfunks ab und sagt sinngemäß: Die Darlegungslast liegt zunächst beim Beitragsschuldner. Auch das V-Gutachten ändere daran nichts.</w:t>
      </w:r>
    </w:p>
    <w:p w14:paraId="21DBB2F7"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Damit habt ihr jetzt fast lehrbuchartig den Ausgangspunkt eurer neuen Verfahren:</w:t>
      </w:r>
    </w:p>
    <w:p w14:paraId="046D62DC"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b/>
          <w:bCs/>
          <w:kern w:val="0"/>
          <w:lang w:eastAsia="de-DE"/>
          <w14:ligatures w14:val="none"/>
        </w:rPr>
        <w:t>Gericht:</w:t>
      </w:r>
      <w:r w:rsidRPr="00AE6C5D">
        <w:rPr>
          <w:rFonts w:ascii="Times New Roman" w:eastAsia="Times New Roman" w:hAnsi="Times New Roman" w:cs="Times New Roman"/>
          <w:kern w:val="0"/>
          <w:lang w:eastAsia="de-DE"/>
          <w14:ligatures w14:val="none"/>
        </w:rPr>
        <w:t xml:space="preserve"> Bringen Sie ein wissenschaftliches Gutachten über das Gesamtprogramm.</w:t>
      </w:r>
    </w:p>
    <w:p w14:paraId="73763D14"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b/>
          <w:bCs/>
          <w:kern w:val="0"/>
          <w:lang w:eastAsia="de-DE"/>
          <w14:ligatures w14:val="none"/>
        </w:rPr>
        <w:t>Bürger:</w:t>
      </w:r>
      <w:r w:rsidRPr="00AE6C5D">
        <w:rPr>
          <w:rFonts w:ascii="Times New Roman" w:eastAsia="Times New Roman" w:hAnsi="Times New Roman" w:cs="Times New Roman"/>
          <w:kern w:val="0"/>
          <w:lang w:eastAsia="de-DE"/>
          <w14:ligatures w14:val="none"/>
        </w:rPr>
        <w:t xml:space="preserve"> Dafür benötige ich vollständige und reproduzierbare Erkenntnisgrundlagen.</w:t>
      </w:r>
    </w:p>
    <w:p w14:paraId="1A121A16"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b/>
          <w:bCs/>
          <w:kern w:val="0"/>
          <w:lang w:eastAsia="de-DE"/>
          <w14:ligatures w14:val="none"/>
        </w:rPr>
        <w:t>Rundfunk/Archive:</w:t>
      </w:r>
      <w:r w:rsidRPr="00AE6C5D">
        <w:rPr>
          <w:rFonts w:ascii="Times New Roman" w:eastAsia="Times New Roman" w:hAnsi="Times New Roman" w:cs="Times New Roman"/>
          <w:kern w:val="0"/>
          <w:lang w:eastAsia="de-DE"/>
          <w14:ligatures w14:val="none"/>
        </w:rPr>
        <w:t xml:space="preserve"> Zugang wird nicht oder nicht hinreichend gewährt.</w:t>
      </w:r>
    </w:p>
    <w:p w14:paraId="437F6E2C"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b/>
          <w:bCs/>
          <w:kern w:val="0"/>
          <w:lang w:eastAsia="de-DE"/>
          <w14:ligatures w14:val="none"/>
        </w:rPr>
        <w:t>Gericht:</w:t>
      </w:r>
      <w:r w:rsidRPr="00AE6C5D">
        <w:rPr>
          <w:rFonts w:ascii="Times New Roman" w:eastAsia="Times New Roman" w:hAnsi="Times New Roman" w:cs="Times New Roman"/>
          <w:kern w:val="0"/>
          <w:lang w:eastAsia="de-DE"/>
          <w14:ligatures w14:val="none"/>
        </w:rPr>
        <w:t xml:space="preserve"> Dann ist Ihr Vortrag nicht ausreichend substantiiert.</w:t>
      </w:r>
    </w:p>
    <w:p w14:paraId="0AB25FF6"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b/>
          <w:bCs/>
          <w:kern w:val="0"/>
          <w:lang w:eastAsia="de-DE"/>
          <w14:ligatures w14:val="none"/>
        </w:rPr>
        <w:t>Genau diesen Kreis soll die neue Feststellungsklage isolieren.</w:t>
      </w:r>
    </w:p>
    <w:p w14:paraId="781808E6"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Das ist wesentlich intelligenter, als jetzt einfach dieselbe Beitragsklage ein zweites Mal zu führen.</w:t>
      </w:r>
    </w:p>
    <w:p w14:paraId="4D1A6A06" w14:textId="77777777" w:rsidR="00AE6C5D" w:rsidRPr="00AE6C5D" w:rsidRDefault="001C7E4C" w:rsidP="00AE6C5D">
      <w:pPr>
        <w:rPr>
          <w:rFonts w:ascii="Times New Roman" w:eastAsia="Times New Roman" w:hAnsi="Times New Roman" w:cs="Times New Roman"/>
          <w:kern w:val="0"/>
          <w:lang w:eastAsia="de-DE"/>
          <w14:ligatures w14:val="none"/>
        </w:rPr>
      </w:pPr>
      <w:r w:rsidRPr="001C7E4C">
        <w:rPr>
          <w:rFonts w:ascii="Times New Roman" w:eastAsia="Times New Roman" w:hAnsi="Times New Roman" w:cs="Times New Roman"/>
          <w:noProof/>
          <w:kern w:val="0"/>
          <w:lang w:eastAsia="de-DE"/>
        </w:rPr>
        <w:pict w14:anchorId="524E6FEE">
          <v:rect id="_x0000_i1035" alt="" style="width:453.15pt;height:.05pt;mso-width-percent:0;mso-height-percent:0;mso-width-percent:0;mso-height-percent:0" o:hrpct="999" o:hralign="center" o:hrstd="t" o:hr="t" fillcolor="#a0a0a0" stroked="f"/>
        </w:pict>
      </w:r>
    </w:p>
    <w:p w14:paraId="0962356F" w14:textId="77777777" w:rsidR="00AE6C5D" w:rsidRPr="00AE6C5D" w:rsidRDefault="00AE6C5D" w:rsidP="00AE6C5D">
      <w:pPr>
        <w:spacing w:before="100" w:beforeAutospacing="1" w:after="100" w:afterAutospacing="1"/>
        <w:outlineLvl w:val="0"/>
        <w:rPr>
          <w:rFonts w:ascii="Times New Roman" w:eastAsia="Times New Roman" w:hAnsi="Times New Roman" w:cs="Times New Roman"/>
          <w:b/>
          <w:bCs/>
          <w:kern w:val="36"/>
          <w:sz w:val="48"/>
          <w:szCs w:val="48"/>
          <w:lang w:eastAsia="de-DE"/>
          <w14:ligatures w14:val="none"/>
        </w:rPr>
      </w:pPr>
      <w:r w:rsidRPr="00AE6C5D">
        <w:rPr>
          <w:rFonts w:ascii="Times New Roman" w:eastAsia="Times New Roman" w:hAnsi="Times New Roman" w:cs="Times New Roman"/>
          <w:b/>
          <w:bCs/>
          <w:kern w:val="36"/>
          <w:sz w:val="48"/>
          <w:szCs w:val="48"/>
          <w:lang w:eastAsia="de-DE"/>
          <w14:ligatures w14:val="none"/>
        </w:rPr>
        <w:t>Die Feststellungsklage ist deshalb grundsätzlich richtig konstruiert</w:t>
      </w:r>
    </w:p>
    <w:p w14:paraId="17A8A138"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Der stärkste Satz eures aktuellen Entwurfs steht ganz am Anfang. Ihr grenzt ausdrücklich ab, dass weder das alte Beitragsurteil erneut überprüft noch unmittelbar die Programmverfassungswidrigkeit festgestellt werden soll. Streitgegenstand soll ausschließlich die Rechtsfolge der verweigerten Erkenntnisgrundlagen sein.</w:t>
      </w:r>
    </w:p>
    <w:p w14:paraId="3B3D962B"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lastRenderedPageBreak/>
        <w:t>Das ist zentral.</w:t>
      </w:r>
    </w:p>
    <w:p w14:paraId="44B6CBA2"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Auch die Anträge sind inzwischen viel besser als eine Klage auf „Gebt uns die Rundfunkdaten“. Der Hauptantrag fragt sinngemäß:</w:t>
      </w:r>
    </w:p>
    <w:p w14:paraId="33AEE1CA"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Darf die Landesrundfunkanstalt dem Kläger mangelnde wissenschaftliche Substantiierung entgegenhalten, wenn er die konkret erforderlichen Erkenntnisgrundlagen beantragt hat, diese verweigert wurden und kein tatsächlich geeigneter alternativer Erkenntnisweg zur Verfügung steht?</w:t>
      </w:r>
    </w:p>
    <w:p w14:paraId="5718D75A"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b/>
          <w:bCs/>
          <w:kern w:val="0"/>
          <w:lang w:eastAsia="de-DE"/>
          <w14:ligatures w14:val="none"/>
        </w:rPr>
        <w:t>Das ist eine echte Rechtsfrage.</w:t>
      </w:r>
    </w:p>
    <w:p w14:paraId="6F0A70C8"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Und sie entsteht erst aufgrund der neuen Tatsachen:</w:t>
      </w:r>
    </w:p>
    <w:p w14:paraId="7E95A7BB"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frühere verlorene Beitragsklage → konkreter wissenschaftlicher Zugangsversuch → konkrete Ablehnung → weiterhin bestehendes Beitragsrechtsverhältnis.</w:t>
      </w:r>
    </w:p>
    <w:p w14:paraId="4E50B388"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Der Entwurf trennt diesen neuen Sachverhalt auch ausdrücklich vom rechtskräftig abgeschlossenen alten Verfahren.</w:t>
      </w:r>
    </w:p>
    <w:p w14:paraId="09045954"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Das ist wichtig wegen § 121 VwGO.</w:t>
      </w:r>
    </w:p>
    <w:p w14:paraId="06E394BB" w14:textId="77777777" w:rsidR="00AE6C5D" w:rsidRPr="00AE6C5D" w:rsidRDefault="00AE6C5D" w:rsidP="00AE6C5D">
      <w:pPr>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pict w14:anchorId="3BB787CA">
          <v:rect id="_x0000_i1026" style="width:0;height:1.5pt" o:hralign="center" o:hrstd="t" o:hr="t" fillcolor="#a0a0a0" stroked="f"/>
        </w:pict>
      </w:r>
    </w:p>
    <w:p w14:paraId="63CD79A9" w14:textId="77777777" w:rsidR="00AE6C5D" w:rsidRPr="00AE6C5D" w:rsidRDefault="00AE6C5D" w:rsidP="00AE6C5D">
      <w:pPr>
        <w:spacing w:before="100" w:beforeAutospacing="1" w:after="100" w:afterAutospacing="1"/>
        <w:outlineLvl w:val="0"/>
        <w:rPr>
          <w:rFonts w:ascii="Times New Roman" w:eastAsia="Times New Roman" w:hAnsi="Times New Roman" w:cs="Times New Roman"/>
          <w:b/>
          <w:bCs/>
          <w:kern w:val="36"/>
          <w:sz w:val="48"/>
          <w:szCs w:val="48"/>
          <w:lang w:eastAsia="de-DE"/>
          <w14:ligatures w14:val="none"/>
        </w:rPr>
      </w:pPr>
      <w:r w:rsidRPr="00AE6C5D">
        <w:rPr>
          <w:rFonts w:ascii="Times New Roman" w:eastAsia="Times New Roman" w:hAnsi="Times New Roman" w:cs="Times New Roman"/>
          <w:b/>
          <w:bCs/>
          <w:kern w:val="36"/>
          <w:sz w:val="48"/>
          <w:szCs w:val="48"/>
          <w:lang w:eastAsia="de-DE"/>
          <w14:ligatures w14:val="none"/>
        </w:rPr>
        <w:t>Aber: Das größte Risiko liegt nicht in der Begründetheit, sondern in der Zulässigkeit</w:t>
      </w:r>
    </w:p>
    <w:p w14:paraId="5CC13D48"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Darauf würde ich vor 51 Einreichungen maximalen Aufwand verwenden.</w:t>
      </w:r>
    </w:p>
    <w:p w14:paraId="7C58DAC7"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Das Gericht könnte sagen:</w:t>
      </w:r>
    </w:p>
    <w:p w14:paraId="77CE0C82"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„Sie wollen von uns letztlich eine abstrakte Antwort darauf, welche Substantiierungsanforderungen in einem künftigen Beitragsprozess gelten. Darüber entscheiden wir erst, wenn ein konkreter zukünftiger Beitragsbescheid angefochten wird.“</w:t>
      </w:r>
    </w:p>
    <w:p w14:paraId="36C2DFF9"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Dann wird § 43 VwGO zum Problem.</w:t>
      </w:r>
    </w:p>
    <w:p w14:paraId="6D1719F6"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Ihr habt das im Entwurf bereits erkannt und argumentiert mit:</w:t>
      </w:r>
    </w:p>
    <w:p w14:paraId="2A4BEFA6"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fortdauernder Beitragspflicht, konkreter Wiederholungsgefahr, bereits durchgeführtem früheren Verfahren und anschließend konkret verweigerten Erkenntniszugängen.</w:t>
      </w:r>
    </w:p>
    <w:p w14:paraId="3E3581C1"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Das ist gut.</w:t>
      </w:r>
    </w:p>
    <w:p w14:paraId="25BFA9C6"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 xml:space="preserve">Aber genau </w:t>
      </w:r>
      <w:r w:rsidRPr="00AE6C5D">
        <w:rPr>
          <w:rFonts w:ascii="Times New Roman" w:eastAsia="Times New Roman" w:hAnsi="Times New Roman" w:cs="Times New Roman"/>
          <w:b/>
          <w:bCs/>
          <w:kern w:val="0"/>
          <w:lang w:eastAsia="de-DE"/>
          <w14:ligatures w14:val="none"/>
        </w:rPr>
        <w:t>dieser Teil muss in jeder der 51 Klagen individualisiert werden</w:t>
      </w:r>
      <w:r w:rsidRPr="00AE6C5D">
        <w:rPr>
          <w:rFonts w:ascii="Times New Roman" w:eastAsia="Times New Roman" w:hAnsi="Times New Roman" w:cs="Times New Roman"/>
          <w:kern w:val="0"/>
          <w:lang w:eastAsia="de-DE"/>
          <w14:ligatures w14:val="none"/>
        </w:rPr>
        <w:t>.</w:t>
      </w:r>
    </w:p>
    <w:p w14:paraId="44E0D08B"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Nicht:</w:t>
      </w:r>
    </w:p>
    <w:p w14:paraId="7FAD4680"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„51 Bürger führen dieselbe abstrakte Musterklage.“</w:t>
      </w:r>
    </w:p>
    <w:p w14:paraId="35768CD2"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lastRenderedPageBreak/>
        <w:t>Sondern:</w:t>
      </w:r>
    </w:p>
    <w:p w14:paraId="2005128F"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b/>
          <w:bCs/>
          <w:kern w:val="0"/>
          <w:lang w:eastAsia="de-DE"/>
          <w14:ligatures w14:val="none"/>
        </w:rPr>
        <w:t>Dieser konkrete Kläger hat bereits versucht, den BVerwG-Einwand zu führen. Dieses konkrete Gericht hat seinen Vortrag aus diesen Gründen nicht ausreichen lassen. Danach hat genau dieser Kläger diese Erkenntnisgrundlagen bei diesen Institutionen beantragt. Diese wurden ihm mit diesen Schreiben verweigert. Er ist weiterhin Beitragsschuldner. Daraus entsteht sein heutiges konkretes Rechtsverhältnis.</w:t>
      </w:r>
    </w:p>
    <w:p w14:paraId="7DA5A940"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Je sauberer ihr das macht, desto schwieriger wird der Vorwurf einer Popularklage.</w:t>
      </w:r>
    </w:p>
    <w:p w14:paraId="575AEA05" w14:textId="77777777" w:rsidR="00AE6C5D" w:rsidRPr="00AE6C5D" w:rsidRDefault="00AE6C5D" w:rsidP="00AE6C5D">
      <w:pPr>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pict w14:anchorId="0AE124AE">
          <v:rect id="_x0000_i1027" style="width:0;height:1.5pt" o:hralign="center" o:hrstd="t" o:hr="t" fillcolor="#a0a0a0" stroked="f"/>
        </w:pict>
      </w:r>
    </w:p>
    <w:p w14:paraId="55D09FB3" w14:textId="77777777" w:rsidR="00AE6C5D" w:rsidRPr="00AE6C5D" w:rsidRDefault="00AE6C5D" w:rsidP="00AE6C5D">
      <w:pPr>
        <w:spacing w:before="100" w:beforeAutospacing="1" w:after="100" w:afterAutospacing="1"/>
        <w:outlineLvl w:val="0"/>
        <w:rPr>
          <w:rFonts w:ascii="Times New Roman" w:eastAsia="Times New Roman" w:hAnsi="Times New Roman" w:cs="Times New Roman"/>
          <w:b/>
          <w:bCs/>
          <w:kern w:val="36"/>
          <w:sz w:val="48"/>
          <w:szCs w:val="48"/>
          <w:lang w:eastAsia="de-DE"/>
          <w14:ligatures w14:val="none"/>
        </w:rPr>
      </w:pPr>
      <w:r w:rsidRPr="00AE6C5D">
        <w:rPr>
          <w:rFonts w:ascii="Times New Roman" w:eastAsia="Times New Roman" w:hAnsi="Times New Roman" w:cs="Times New Roman"/>
          <w:b/>
          <w:bCs/>
          <w:kern w:val="36"/>
          <w:sz w:val="48"/>
          <w:szCs w:val="48"/>
          <w:lang w:eastAsia="de-DE"/>
          <w14:ligatures w14:val="none"/>
        </w:rPr>
        <w:t>Der zweite Angriffspunkt wird § 43 Abs. 2 VwGO sein</w:t>
      </w:r>
    </w:p>
    <w:p w14:paraId="3F8B86B8"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Euer Entwurf argumentiert bereits:</w:t>
      </w:r>
    </w:p>
    <w:p w14:paraId="66BC21E0"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Eine Datenzugangsklage gegen eine einzelne LRA löst die Frage nicht, weil das BVerwG eine Gesamtbetrachtung von ARD, ZDF, Deutschlandradio etc. verlangt. Selbst ein Erfolg gegenüber einer einzigen Anstalt beseitigt daher nicht die systemweite Erkenntnislücke.</w:t>
      </w:r>
    </w:p>
    <w:p w14:paraId="5A6C70D4"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Das ist ein gutes Argument.</w:t>
      </w:r>
    </w:p>
    <w:p w14:paraId="0D3168C9"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Trotzdem wird euch wahrscheinlich entgegengehalten:</w:t>
      </w:r>
    </w:p>
    <w:p w14:paraId="3B8D8C7C"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„Warten Sie den nächsten Festsetzungsbescheid ab und führen Sie dann eine Anfechtungsklage.“</w:t>
      </w:r>
    </w:p>
    <w:p w14:paraId="405343FE"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Darauf muss die Klage eine sehr klare Antwort enthalten:</w:t>
      </w:r>
    </w:p>
    <w:p w14:paraId="55644409"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b/>
          <w:bCs/>
          <w:kern w:val="0"/>
          <w:lang w:eastAsia="de-DE"/>
          <w14:ligatures w14:val="none"/>
        </w:rPr>
        <w:t>Der Gegenstand der Feststellungsklage ist nicht die Rechtmäßigkeit eines bestimmten Festsetzungsbescheids.</w:t>
      </w:r>
    </w:p>
    <w:p w14:paraId="0292E22B"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 xml:space="preserve">Es geht um die vorgelagerte Rechtsposition im </w:t>
      </w:r>
      <w:r w:rsidRPr="00AE6C5D">
        <w:rPr>
          <w:rFonts w:ascii="Times New Roman" w:eastAsia="Times New Roman" w:hAnsi="Times New Roman" w:cs="Times New Roman"/>
          <w:b/>
          <w:bCs/>
          <w:kern w:val="0"/>
          <w:lang w:eastAsia="de-DE"/>
          <w14:ligatures w14:val="none"/>
        </w:rPr>
        <w:t>fortdauernden Beitragsrechtsverhältnis</w:t>
      </w:r>
      <w:r w:rsidRPr="00AE6C5D">
        <w:rPr>
          <w:rFonts w:ascii="Times New Roman" w:eastAsia="Times New Roman" w:hAnsi="Times New Roman" w:cs="Times New Roman"/>
          <w:kern w:val="0"/>
          <w:lang w:eastAsia="de-DE"/>
          <w14:ligatures w14:val="none"/>
        </w:rPr>
        <w:t>:</w:t>
      </w:r>
    </w:p>
    <w:p w14:paraId="57FB3761"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Muss der Bürger einen wissenschaftlichen Vollnachweis erbringen, obwohl ihm gerade die hierfür erforderlichen Erkenntnisquellen nachweislich nicht zur Verfügung gestellt werden?</w:t>
      </w:r>
    </w:p>
    <w:p w14:paraId="5B886113"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Das muss durchgehend der rote Faden bleiben.</w:t>
      </w:r>
    </w:p>
    <w:p w14:paraId="1A0108C5" w14:textId="77777777" w:rsidR="00AE6C5D" w:rsidRPr="00AE6C5D" w:rsidRDefault="00AE6C5D" w:rsidP="00AE6C5D">
      <w:pPr>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pict w14:anchorId="7A48E7F2">
          <v:rect id="_x0000_i1028" style="width:0;height:1.5pt" o:hralign="center" o:hrstd="t" o:hr="t" fillcolor="#a0a0a0" stroked="f"/>
        </w:pict>
      </w:r>
    </w:p>
    <w:p w14:paraId="34BA3280" w14:textId="77777777" w:rsidR="00AE6C5D" w:rsidRPr="00AE6C5D" w:rsidRDefault="00AE6C5D" w:rsidP="00AE6C5D">
      <w:pPr>
        <w:spacing w:before="100" w:beforeAutospacing="1" w:after="100" w:afterAutospacing="1"/>
        <w:outlineLvl w:val="0"/>
        <w:rPr>
          <w:rFonts w:ascii="Times New Roman" w:eastAsia="Times New Roman" w:hAnsi="Times New Roman" w:cs="Times New Roman"/>
          <w:b/>
          <w:bCs/>
          <w:kern w:val="36"/>
          <w:sz w:val="48"/>
          <w:szCs w:val="48"/>
          <w:lang w:eastAsia="de-DE"/>
          <w14:ligatures w14:val="none"/>
        </w:rPr>
      </w:pPr>
      <w:r w:rsidRPr="00AE6C5D">
        <w:rPr>
          <w:rFonts w:ascii="Times New Roman" w:eastAsia="Times New Roman" w:hAnsi="Times New Roman" w:cs="Times New Roman"/>
          <w:b/>
          <w:bCs/>
          <w:kern w:val="36"/>
          <w:sz w:val="48"/>
          <w:szCs w:val="48"/>
          <w:lang w:eastAsia="de-DE"/>
          <w14:ligatures w14:val="none"/>
        </w:rPr>
        <w:t>Die vier Gutachten sind sinnvoll – aber sie erfüllen vier vollkommen unterschiedliche Aufgaben</w:t>
      </w:r>
    </w:p>
    <w:p w14:paraId="66303688"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lastRenderedPageBreak/>
        <w:t>Hier würde ich eure bisherigen Dokumente nicht einfach als einen 400-Seiten-Block behandeln.</w:t>
      </w:r>
    </w:p>
    <w:p w14:paraId="62A8FE09" w14:textId="77777777" w:rsidR="00AE6C5D" w:rsidRPr="00AE6C5D" w:rsidRDefault="00AE6C5D" w:rsidP="00AE6C5D">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b/>
          <w:bCs/>
          <w:kern w:val="0"/>
          <w:lang w:eastAsia="de-DE"/>
          <w14:ligatures w14:val="none"/>
        </w:rPr>
        <w:t>Das V-Gutachten ist das Fundament des Erkenntnisproblems.</w:t>
      </w:r>
      <w:r w:rsidRPr="00AE6C5D">
        <w:rPr>
          <w:rFonts w:ascii="Times New Roman" w:eastAsia="Times New Roman" w:hAnsi="Times New Roman" w:cs="Times New Roman"/>
          <w:kern w:val="0"/>
          <w:lang w:eastAsia="de-DE"/>
          <w14:ligatures w14:val="none"/>
        </w:rPr>
        <w:t xml:space="preserve"> Es beschreibt ausdrücklich den strukturellen Beweisnotstand, die fehlenden vollständigen öffentlichen Archive, den Bedarf an Transkripten, Metadaten und reproduzierbaren Datenbeständen sowie die Verbindung zu Art. 19 Abs. 4 GG und § 86 VwGO. Wichtig ist seine Selbstbegrenzung: Es behauptet selbst nicht, ein gerichtliches Sachverständigengutachten zu ersetzen, sondern Tatsachen, Indizien und Aufklärungsbedarf aufzuzeigen. </w:t>
      </w:r>
      <w:r w:rsidRPr="00AE6C5D">
        <w:rPr>
          <w:rFonts w:ascii="Times New Roman" w:eastAsia="Times New Roman" w:hAnsi="Times New Roman" w:cs="Times New Roman"/>
          <w:b/>
          <w:bCs/>
          <w:kern w:val="0"/>
          <w:lang w:eastAsia="de-DE"/>
          <w14:ligatures w14:val="none"/>
        </w:rPr>
        <w:t>Genau so verwenden.</w:t>
      </w:r>
    </w:p>
    <w:p w14:paraId="08267810" w14:textId="77777777" w:rsidR="00AE6C5D" w:rsidRPr="00AE6C5D" w:rsidRDefault="00AE6C5D" w:rsidP="00AE6C5D">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b/>
          <w:bCs/>
          <w:kern w:val="0"/>
          <w:lang w:eastAsia="de-DE"/>
          <w14:ligatures w14:val="none"/>
        </w:rPr>
        <w:t>Das Rundfunkalarm-Gutachten ist empirisches Material</w:t>
      </w:r>
      <w:r w:rsidRPr="00AE6C5D">
        <w:rPr>
          <w:rFonts w:ascii="Times New Roman" w:eastAsia="Times New Roman" w:hAnsi="Times New Roman" w:cs="Times New Roman"/>
          <w:kern w:val="0"/>
          <w:lang w:eastAsia="de-DE"/>
          <w14:ligatures w14:val="none"/>
        </w:rPr>
        <w:t xml:space="preserve">, aber nicht für die zentrale Programmfrage. Es dokumentiert 4.086 Ursprungsvorgänge, über 118.000 Teilungen und mehrere Tausend Gremienbefassungen; nach dem ausgewerteten Material war keine nach außen dokumentierte Korrekturwirkung erkennbar. Das Gutachten bezeichnet sich selbst ausdrücklich als qualifizierten Parteivortrag und nicht als abschließendes Programmvielfaltsgutachten. Düsseldorf hält den Umgang mit Programmbeschwerden für die Beitragsentscheidung allerdings für nicht entscheidungserheblich. Deshalb würde ich dieses Gutachten in der neuen Feststellungsklage </w:t>
      </w:r>
      <w:r w:rsidRPr="00AE6C5D">
        <w:rPr>
          <w:rFonts w:ascii="Times New Roman" w:eastAsia="Times New Roman" w:hAnsi="Times New Roman" w:cs="Times New Roman"/>
          <w:b/>
          <w:bCs/>
          <w:kern w:val="0"/>
          <w:lang w:eastAsia="de-DE"/>
          <w14:ligatures w14:val="none"/>
        </w:rPr>
        <w:t>nur für einen sehr engen Punkt</w:t>
      </w:r>
      <w:r w:rsidRPr="00AE6C5D">
        <w:rPr>
          <w:rFonts w:ascii="Times New Roman" w:eastAsia="Times New Roman" w:hAnsi="Times New Roman" w:cs="Times New Roman"/>
          <w:kern w:val="0"/>
          <w:lang w:eastAsia="de-DE"/>
          <w14:ligatures w14:val="none"/>
        </w:rPr>
        <w:t xml:space="preserve"> benutzen: Programmbeschwerde/Gremienkontrolle ist kein Ersatz für den wissenschaftlichen Erkenntniszugang.</w:t>
      </w:r>
    </w:p>
    <w:p w14:paraId="46D8BAA7" w14:textId="77777777" w:rsidR="00AE6C5D" w:rsidRPr="00AE6C5D" w:rsidRDefault="00AE6C5D" w:rsidP="00AE6C5D">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b/>
          <w:bCs/>
          <w:kern w:val="0"/>
          <w:lang w:eastAsia="de-DE"/>
          <w14:ligatures w14:val="none"/>
        </w:rPr>
        <w:t>Das Kurzgutachten ist für die Feststellungsklage vermutlich das stärkste juristische Gutachten.</w:t>
      </w:r>
      <w:r w:rsidRPr="00AE6C5D">
        <w:rPr>
          <w:rFonts w:ascii="Times New Roman" w:eastAsia="Times New Roman" w:hAnsi="Times New Roman" w:cs="Times New Roman"/>
          <w:kern w:val="0"/>
          <w:lang w:eastAsia="de-DE"/>
          <w14:ligatures w14:val="none"/>
        </w:rPr>
        <w:t xml:space="preserve"> Es formuliert präzise: Wenn der materielle Prüfungsmaßstab das Gesamtprogramm betrifft, besteht der entscheidungserhebliche Lebenssachverhalt gerade in einem langfristigen institutionellen Gesamtprozess; daran muss sich die gerichtliche Tatsachenaufklärung orientieren. Das passt unmittelbar zu eurem neuen Streitgegenstand. Seine Überlegungen zur sekundären Darlegungslast sollte man aber nicht als bereits höchstrichterlich entschiedenen Anspruch darstellen. Selbst das Gutachten beschreibt sie nur als Mitwirkung bei erheblicher Informationsasymmetrie und unter Erforderlichkeits-/Zumutbarkeitsvorbehalt.</w:t>
      </w:r>
    </w:p>
    <w:p w14:paraId="037D8565" w14:textId="77777777" w:rsidR="00AE6C5D" w:rsidRPr="00AE6C5D" w:rsidRDefault="00AE6C5D" w:rsidP="00AE6C5D">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b/>
          <w:bCs/>
          <w:kern w:val="0"/>
          <w:lang w:eastAsia="de-DE"/>
          <w14:ligatures w14:val="none"/>
        </w:rPr>
        <w:t>Die 205-seitige Grundlagenuntersuchung liefert die Theorie darunter.</w:t>
      </w:r>
      <w:r w:rsidRPr="00AE6C5D">
        <w:rPr>
          <w:rFonts w:ascii="Times New Roman" w:eastAsia="Times New Roman" w:hAnsi="Times New Roman" w:cs="Times New Roman"/>
          <w:kern w:val="0"/>
          <w:lang w:eastAsia="de-DE"/>
          <w14:ligatures w14:val="none"/>
        </w:rPr>
        <w:t xml:space="preserve"> Besonders gut finde ich ihre eigene Selbstbegrenzung: Eine wissenschaftliche Vollanalyse ist ein Erkenntnisinstrument; sie schafft keine neue Prozessregel und verändert weder Darlegungs- noch Beweislast. Das schützt euch vor dem Vorwurf, ihr würdet eine selbst erfundene neue Rechtsfigur zum geltenden Recht erklären. Gleichzeitig begründet sie sauber, warum bei strukturell asymmetrischer Informationsverteilung Mitwirkung der informationsnäheren Seite für die Sachaufklärung relevant werden kann.</w:t>
      </w:r>
    </w:p>
    <w:p w14:paraId="01731650"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b/>
          <w:bCs/>
          <w:kern w:val="0"/>
          <w:lang w:eastAsia="de-DE"/>
          <w14:ligatures w14:val="none"/>
        </w:rPr>
        <w:t>Gemeinsam sind die vier Gutachten also durchaus guter qualifizierter Parteivortrag.</w:t>
      </w:r>
    </w:p>
    <w:p w14:paraId="372BAB64"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 xml:space="preserve">Aber sie beweisen noch </w:t>
      </w:r>
      <w:r w:rsidRPr="00AE6C5D">
        <w:rPr>
          <w:rFonts w:ascii="Times New Roman" w:eastAsia="Times New Roman" w:hAnsi="Times New Roman" w:cs="Times New Roman"/>
          <w:b/>
          <w:bCs/>
          <w:kern w:val="0"/>
          <w:lang w:eastAsia="de-DE"/>
          <w14:ligatures w14:val="none"/>
        </w:rPr>
        <w:t>nicht</w:t>
      </w:r>
      <w:r w:rsidRPr="00AE6C5D">
        <w:rPr>
          <w:rFonts w:ascii="Times New Roman" w:eastAsia="Times New Roman" w:hAnsi="Times New Roman" w:cs="Times New Roman"/>
          <w:kern w:val="0"/>
          <w:lang w:eastAsia="de-DE"/>
          <w14:ligatures w14:val="none"/>
        </w:rPr>
        <w:t xml:space="preserve"> die materielle Programmverfassungswidrigkeit. Das müssen sie für die neue Feststellungsklage auch gar nicht.</w:t>
      </w:r>
    </w:p>
    <w:p w14:paraId="215AFB3D"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Das ist der entscheidende Vorteil eurer neuen Strategie.</w:t>
      </w:r>
    </w:p>
    <w:p w14:paraId="3A652548" w14:textId="77777777" w:rsidR="00AE6C5D" w:rsidRPr="00AE6C5D" w:rsidRDefault="00AE6C5D" w:rsidP="00AE6C5D">
      <w:pPr>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pict w14:anchorId="59F72CB8">
          <v:rect id="_x0000_i1029" style="width:0;height:1.5pt" o:hralign="center" o:hrstd="t" o:hr="t" fillcolor="#a0a0a0" stroked="f"/>
        </w:pict>
      </w:r>
    </w:p>
    <w:p w14:paraId="555417FE" w14:textId="77777777" w:rsidR="00AE6C5D" w:rsidRPr="00AE6C5D" w:rsidRDefault="00AE6C5D" w:rsidP="00AE6C5D">
      <w:pPr>
        <w:spacing w:before="100" w:beforeAutospacing="1" w:after="100" w:afterAutospacing="1"/>
        <w:outlineLvl w:val="0"/>
        <w:rPr>
          <w:rFonts w:ascii="Times New Roman" w:eastAsia="Times New Roman" w:hAnsi="Times New Roman" w:cs="Times New Roman"/>
          <w:b/>
          <w:bCs/>
          <w:kern w:val="36"/>
          <w:sz w:val="48"/>
          <w:szCs w:val="48"/>
          <w:lang w:eastAsia="de-DE"/>
          <w14:ligatures w14:val="none"/>
        </w:rPr>
      </w:pPr>
      <w:r w:rsidRPr="00AE6C5D">
        <w:rPr>
          <w:rFonts w:ascii="Times New Roman" w:eastAsia="Times New Roman" w:hAnsi="Times New Roman" w:cs="Times New Roman"/>
          <w:b/>
          <w:bCs/>
          <w:kern w:val="36"/>
          <w:sz w:val="48"/>
          <w:szCs w:val="48"/>
          <w:lang w:eastAsia="de-DE"/>
          <w14:ligatures w14:val="none"/>
        </w:rPr>
        <w:lastRenderedPageBreak/>
        <w:t>Eure Zugangsanträge sind für diese neue Klage fast wichtiger als die Gutachten</w:t>
      </w:r>
    </w:p>
    <w:p w14:paraId="16294723"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Das Düsseldorfer Gericht hat euch praktisch vorgehalten:</w:t>
      </w:r>
    </w:p>
    <w:p w14:paraId="489AD7B7"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Es sei nicht belegt, dass gerade die benötigten Programmdaten für den maßgeblichen Zeitraum konkret angefordert worden seien.</w:t>
      </w:r>
    </w:p>
    <w:p w14:paraId="775264B0"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Jetzt habt ihr genau darauf reagiert.</w:t>
      </w:r>
    </w:p>
    <w:p w14:paraId="2EEDB2A5"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Der LRA-Antrag ist inzwischen ausgesprochen konkret: vollständige Sendungsverzeichnisse, Audio-/Videozugang, Untertitel, Transkripte, Zeitdaten, Segmentierungen, Themenzuordnungen, Akteursdaten, technische Metadaten und Recherche-/Exportmöglichkeiten. Gleichzeitig werden vertrauliche Quellen, internes investigatives Material und redaktionelle Kommunikation ausdrücklich ausgenommen.</w:t>
      </w:r>
    </w:p>
    <w:p w14:paraId="6FEB1D69"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Noch besser: Ihr verlangt nicht sofort einen Datendump, sondern bietet Präsenzzugang, sicheren Datenraum, Pilotzugang, geschützte Recherche usw. an.</w:t>
      </w:r>
    </w:p>
    <w:p w14:paraId="29D42B33"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Das ist strategisch hervorragend, weil damit das Argument</w:t>
      </w:r>
    </w:p>
    <w:p w14:paraId="4B8A0623"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„unverhältnismäßige Ausforschung“</w:t>
      </w:r>
    </w:p>
    <w:p w14:paraId="091A58EA"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schwächer wird.</w:t>
      </w:r>
    </w:p>
    <w:p w14:paraId="52D1C792"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 xml:space="preserve">Und der Archiv-Antrag geht noch einen Schritt weiter, indem zunächst eine </w:t>
      </w:r>
      <w:r w:rsidRPr="00AE6C5D">
        <w:rPr>
          <w:rFonts w:ascii="Times New Roman" w:eastAsia="Times New Roman" w:hAnsi="Times New Roman" w:cs="Times New Roman"/>
          <w:b/>
          <w:bCs/>
          <w:kern w:val="0"/>
          <w:lang w:eastAsia="de-DE"/>
          <w14:ligatures w14:val="none"/>
        </w:rPr>
        <w:t>Bestandsauskunft</w:t>
      </w:r>
      <w:r w:rsidRPr="00AE6C5D">
        <w:rPr>
          <w:rFonts w:ascii="Times New Roman" w:eastAsia="Times New Roman" w:hAnsi="Times New Roman" w:cs="Times New Roman"/>
          <w:kern w:val="0"/>
          <w:lang w:eastAsia="de-DE"/>
          <w14:ligatures w14:val="none"/>
        </w:rPr>
        <w:t xml:space="preserve"> verlangt wird: Was existiert überhaupt, in welchem Format und mit welchen Recherche-/Exportmöglichkeiten?</w:t>
      </w:r>
    </w:p>
    <w:p w14:paraId="54E21F94"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Das ist meines Erachtens der stärkste tatsächliche Baustein eurer neuen Klagen.</w:t>
      </w:r>
    </w:p>
    <w:p w14:paraId="01E24E0E" w14:textId="77777777" w:rsidR="00AE6C5D" w:rsidRPr="00AE6C5D" w:rsidRDefault="00AE6C5D" w:rsidP="00AE6C5D">
      <w:pPr>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pict w14:anchorId="7A7B67C8">
          <v:rect id="_x0000_i1030" style="width:0;height:1.5pt" o:hralign="center" o:hrstd="t" o:hr="t" fillcolor="#a0a0a0" stroked="f"/>
        </w:pict>
      </w:r>
    </w:p>
    <w:p w14:paraId="61D92808" w14:textId="77777777" w:rsidR="00AE6C5D" w:rsidRPr="00AE6C5D" w:rsidRDefault="00AE6C5D" w:rsidP="00AE6C5D">
      <w:pPr>
        <w:spacing w:before="100" w:beforeAutospacing="1" w:after="100" w:afterAutospacing="1"/>
        <w:outlineLvl w:val="0"/>
        <w:rPr>
          <w:rFonts w:ascii="Times New Roman" w:eastAsia="Times New Roman" w:hAnsi="Times New Roman" w:cs="Times New Roman"/>
          <w:b/>
          <w:bCs/>
          <w:kern w:val="36"/>
          <w:sz w:val="48"/>
          <w:szCs w:val="48"/>
          <w:lang w:eastAsia="de-DE"/>
          <w14:ligatures w14:val="none"/>
        </w:rPr>
      </w:pPr>
      <w:r w:rsidRPr="00AE6C5D">
        <w:rPr>
          <w:rFonts w:ascii="Times New Roman" w:eastAsia="Times New Roman" w:hAnsi="Times New Roman" w:cs="Times New Roman"/>
          <w:b/>
          <w:bCs/>
          <w:kern w:val="36"/>
          <w:sz w:val="48"/>
          <w:szCs w:val="48"/>
          <w:lang w:eastAsia="de-DE"/>
          <w14:ligatures w14:val="none"/>
        </w:rPr>
        <w:t>Einen Punkt würde ich jedoch zwingend korrigieren: der Untersuchungszeitraum</w:t>
      </w:r>
    </w:p>
    <w:p w14:paraId="62E1968B"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Hier liegt derzeit eine echte Schwachstelle.</w:t>
      </w:r>
    </w:p>
    <w:p w14:paraId="035948F6"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Eure Musteranträge verlangen einheitlich Daten für:</w:t>
      </w:r>
    </w:p>
    <w:p w14:paraId="1350BF84"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b/>
          <w:bCs/>
          <w:kern w:val="0"/>
          <w:lang w:eastAsia="de-DE"/>
          <w14:ligatures w14:val="none"/>
        </w:rPr>
        <w:t>1. Januar 2024 bis 31. Dezember 2025.</w:t>
      </w:r>
    </w:p>
    <w:p w14:paraId="1BCFDCA2"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 xml:space="preserve">Düsseldorf sagt aber für den dortigen Bescheid vom April 2024, dass bei einem zweijährigen Untersuchungszeitraum jedenfalls ungefähr </w:t>
      </w:r>
      <w:r w:rsidRPr="00AE6C5D">
        <w:rPr>
          <w:rFonts w:ascii="Times New Roman" w:eastAsia="Times New Roman" w:hAnsi="Times New Roman" w:cs="Times New Roman"/>
          <w:b/>
          <w:bCs/>
          <w:kern w:val="0"/>
          <w:lang w:eastAsia="de-DE"/>
          <w14:ligatures w14:val="none"/>
        </w:rPr>
        <w:t>März 2022 bis März 2024</w:t>
      </w:r>
      <w:r w:rsidRPr="00AE6C5D">
        <w:rPr>
          <w:rFonts w:ascii="Times New Roman" w:eastAsia="Times New Roman" w:hAnsi="Times New Roman" w:cs="Times New Roman"/>
          <w:kern w:val="0"/>
          <w:lang w:eastAsia="de-DE"/>
          <w14:ligatures w14:val="none"/>
        </w:rPr>
        <w:t xml:space="preserve"> maßgeblich sei.</w:t>
      </w:r>
    </w:p>
    <w:p w14:paraId="104FF6BD"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Wenn eure 51 Kläger unterschiedliche alte Beitragszeiträume hatten, kann nicht jeder dieselben Jahre 2024/2025 verwenden und gleichzeitig behaupten:</w:t>
      </w:r>
    </w:p>
    <w:p w14:paraId="66B979DD"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lastRenderedPageBreak/>
        <w:t>„Genau diese Daten hätte ich für mein damals verlorenes Verfahren gebraucht.“</w:t>
      </w:r>
    </w:p>
    <w:p w14:paraId="7484FEE1"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Das passt zeitlich nicht.</w:t>
      </w:r>
    </w:p>
    <w:p w14:paraId="2D32F7A6"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Hier sehe ich zwei mögliche saubere Konstruktionen:</w:t>
      </w:r>
    </w:p>
    <w:p w14:paraId="1753632A"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b/>
          <w:bCs/>
          <w:kern w:val="0"/>
          <w:lang w:eastAsia="de-DE"/>
          <w14:ligatures w14:val="none"/>
        </w:rPr>
        <w:t>Entweder</w:t>
      </w:r>
      <w:r w:rsidRPr="00AE6C5D">
        <w:rPr>
          <w:rFonts w:ascii="Times New Roman" w:eastAsia="Times New Roman" w:hAnsi="Times New Roman" w:cs="Times New Roman"/>
          <w:kern w:val="0"/>
          <w:lang w:eastAsia="de-DE"/>
          <w14:ligatures w14:val="none"/>
        </w:rPr>
        <w:t xml:space="preserve"> jeder Kläger beantragt den Zweijahreszeitraum, der seinem damaligen Beitragsverfahren entspricht.</w:t>
      </w:r>
    </w:p>
    <w:p w14:paraId="750FFD26"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b/>
          <w:bCs/>
          <w:kern w:val="0"/>
          <w:lang w:eastAsia="de-DE"/>
          <w14:ligatures w14:val="none"/>
        </w:rPr>
        <w:t>Oder – strategisch wahrscheinlich besser –</w:t>
      </w:r>
      <w:r w:rsidRPr="00AE6C5D">
        <w:rPr>
          <w:rFonts w:ascii="Times New Roman" w:eastAsia="Times New Roman" w:hAnsi="Times New Roman" w:cs="Times New Roman"/>
          <w:kern w:val="0"/>
          <w:lang w:eastAsia="de-DE"/>
          <w14:ligatures w14:val="none"/>
        </w:rPr>
        <w:t xml:space="preserve"> ihr macht klar, dass es jetzt um den </w:t>
      </w:r>
      <w:r w:rsidRPr="00AE6C5D">
        <w:rPr>
          <w:rFonts w:ascii="Times New Roman" w:eastAsia="Times New Roman" w:hAnsi="Times New Roman" w:cs="Times New Roman"/>
          <w:b/>
          <w:bCs/>
          <w:kern w:val="0"/>
          <w:lang w:eastAsia="de-DE"/>
          <w14:ligatures w14:val="none"/>
        </w:rPr>
        <w:t>zukünftigen fortdauernden Beitragsrechtszustand</w:t>
      </w:r>
      <w:r w:rsidRPr="00AE6C5D">
        <w:rPr>
          <w:rFonts w:ascii="Times New Roman" w:eastAsia="Times New Roman" w:hAnsi="Times New Roman" w:cs="Times New Roman"/>
          <w:kern w:val="0"/>
          <w:lang w:eastAsia="de-DE"/>
          <w14:ligatures w14:val="none"/>
        </w:rPr>
        <w:t xml:space="preserve"> geht und 2024/2025 den einheitlichen Referenzzeitraum für einen künftig geltend zu machenden programmbasierten Einwand bildet.</w:t>
      </w:r>
    </w:p>
    <w:p w14:paraId="016F922B"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Dann darf aber das alte Verfahren nicht als Beweis dafür dargestellt werden, dass genau diese 2024/2025-Daten damals fehlten.</w:t>
      </w:r>
    </w:p>
    <w:p w14:paraId="30473CBC"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Das muss sprachlich sauber getrennt werden.</w:t>
      </w:r>
    </w:p>
    <w:p w14:paraId="37F1CC38" w14:textId="77777777" w:rsidR="00AE6C5D" w:rsidRPr="00AE6C5D" w:rsidRDefault="00AE6C5D" w:rsidP="00AE6C5D">
      <w:pPr>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pict w14:anchorId="6B4954CC">
          <v:rect id="_x0000_i1031" style="width:0;height:1.5pt" o:hralign="center" o:hrstd="t" o:hr="t" fillcolor="#a0a0a0" stroked="f"/>
        </w:pict>
      </w:r>
    </w:p>
    <w:p w14:paraId="5234501B" w14:textId="77777777" w:rsidR="00AE6C5D" w:rsidRPr="00AE6C5D" w:rsidRDefault="00AE6C5D" w:rsidP="00AE6C5D">
      <w:pPr>
        <w:spacing w:before="100" w:beforeAutospacing="1" w:after="100" w:afterAutospacing="1"/>
        <w:outlineLvl w:val="0"/>
        <w:rPr>
          <w:rFonts w:ascii="Times New Roman" w:eastAsia="Times New Roman" w:hAnsi="Times New Roman" w:cs="Times New Roman"/>
          <w:b/>
          <w:bCs/>
          <w:kern w:val="36"/>
          <w:sz w:val="48"/>
          <w:szCs w:val="48"/>
          <w:lang w:eastAsia="de-DE"/>
          <w14:ligatures w14:val="none"/>
        </w:rPr>
      </w:pPr>
      <w:r w:rsidRPr="00AE6C5D">
        <w:rPr>
          <w:rFonts w:ascii="Times New Roman" w:eastAsia="Times New Roman" w:hAnsi="Times New Roman" w:cs="Times New Roman"/>
          <w:b/>
          <w:bCs/>
          <w:kern w:val="36"/>
          <w:sz w:val="48"/>
          <w:szCs w:val="48"/>
          <w:lang w:eastAsia="de-DE"/>
          <w14:ligatures w14:val="none"/>
        </w:rPr>
        <w:t>Und jetzt zu den 51 Verwaltungsgerichten</w:t>
      </w:r>
    </w:p>
    <w:p w14:paraId="3BF1F02E"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Die Idee hat einen großen Vorteil:</w:t>
      </w:r>
    </w:p>
    <w:p w14:paraId="4B97DC6B"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b/>
          <w:bCs/>
          <w:kern w:val="0"/>
          <w:lang w:eastAsia="de-DE"/>
          <w14:ligatures w14:val="none"/>
        </w:rPr>
        <w:t>Ihr erzeugt keine 51 Wiederholungen desselben alten Rundfunkprozesses, sondern 51 empirische Tests derselben neuen Rechtsschutzfrage.</w:t>
      </w:r>
    </w:p>
    <w:p w14:paraId="1BEFC832"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Wenn 51 Kläger jeweils dokumentieren:</w:t>
      </w:r>
    </w:p>
    <w:p w14:paraId="58DFD90A"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früheres Scheitern → wissenschaftlicher Informationsbedarf → konkrete Zugangsbegehren → konkrete Ablehnungen → neue Feststellungsklage,</w:t>
      </w:r>
    </w:p>
    <w:p w14:paraId="1E963B49"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bekommt ihr nach und nach eine bundesweite gerichtliche Karte.</w:t>
      </w:r>
    </w:p>
    <w:p w14:paraId="046D3385"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Dann ist sogar eine Niederlage in vielen Verfahren für das übergeordnete Projekt informationsreich.</w:t>
      </w:r>
    </w:p>
    <w:p w14:paraId="6C5E1A2E"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Wenn beispielsweise Gerichte gleichzeitig feststellen:</w:t>
      </w:r>
    </w:p>
    <w:p w14:paraId="711F3EA2"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wissenschaftliches Gesamtgutachten erforderlich,</w:t>
      </w:r>
    </w:p>
    <w:p w14:paraId="56B2CAA8"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aber:</w:t>
      </w:r>
    </w:p>
    <w:p w14:paraId="241567F9"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kein Anspruch auf Datenzugang,</w:t>
      </w:r>
    </w:p>
    <w:p w14:paraId="6442863C"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und:</w:t>
      </w:r>
    </w:p>
    <w:p w14:paraId="67249046"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keine sekundäre Darlegungslast,</w:t>
      </w:r>
    </w:p>
    <w:p w14:paraId="00BFBD87"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lastRenderedPageBreak/>
        <w:t>und:</w:t>
      </w:r>
    </w:p>
    <w:p w14:paraId="56D68D54"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auch keine Erleichterung der Substantiierungsanforderungen,</w:t>
      </w:r>
    </w:p>
    <w:p w14:paraId="7FF8AC93"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dann habt ihr genau den tatsächlichen Befund dokumentiert, auf den eure Art.-19-Abs.-4-GG-Frage zielt.</w:t>
      </w:r>
    </w:p>
    <w:p w14:paraId="02017FA3"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b/>
          <w:bCs/>
          <w:kern w:val="0"/>
          <w:lang w:eastAsia="de-DE"/>
          <w14:ligatures w14:val="none"/>
        </w:rPr>
        <w:t>Das ist der eigentliche strategische Wert der 51 Verfahren.</w:t>
      </w:r>
    </w:p>
    <w:p w14:paraId="0E8A49D7" w14:textId="77777777" w:rsidR="00AE6C5D" w:rsidRPr="00AE6C5D" w:rsidRDefault="00AE6C5D" w:rsidP="00AE6C5D">
      <w:pPr>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pict w14:anchorId="7746FA96">
          <v:rect id="_x0000_i1032" style="width:0;height:1.5pt" o:hralign="center" o:hrstd="t" o:hr="t" fillcolor="#a0a0a0" stroked="f"/>
        </w:pict>
      </w:r>
    </w:p>
    <w:p w14:paraId="6A3F645E" w14:textId="77777777" w:rsidR="00AE6C5D" w:rsidRPr="00AE6C5D" w:rsidRDefault="00AE6C5D" w:rsidP="00AE6C5D">
      <w:pPr>
        <w:spacing w:before="100" w:beforeAutospacing="1" w:after="100" w:afterAutospacing="1"/>
        <w:outlineLvl w:val="0"/>
        <w:rPr>
          <w:rFonts w:ascii="Times New Roman" w:eastAsia="Times New Roman" w:hAnsi="Times New Roman" w:cs="Times New Roman"/>
          <w:b/>
          <w:bCs/>
          <w:kern w:val="36"/>
          <w:sz w:val="48"/>
          <w:szCs w:val="48"/>
          <w:lang w:eastAsia="de-DE"/>
          <w14:ligatures w14:val="none"/>
        </w:rPr>
      </w:pPr>
      <w:r w:rsidRPr="00AE6C5D">
        <w:rPr>
          <w:rFonts w:ascii="Times New Roman" w:eastAsia="Times New Roman" w:hAnsi="Times New Roman" w:cs="Times New Roman"/>
          <w:b/>
          <w:bCs/>
          <w:kern w:val="36"/>
          <w:sz w:val="48"/>
          <w:szCs w:val="48"/>
          <w:lang w:eastAsia="de-DE"/>
          <w14:ligatures w14:val="none"/>
        </w:rPr>
        <w:t>Trotzdem würde ich sie nicht mechanisch „identisch“ einreichen</w:t>
      </w:r>
    </w:p>
    <w:p w14:paraId="1CFA61E3"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Das ist der Punkt, an dem ich dem früheren skeptischen Strategiepapier teilweise zustimme.</w:t>
      </w:r>
    </w:p>
    <w:p w14:paraId="4C89FEFB"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Nicht, weil 51 Verfahren grundsätzlich falsch wären.</w:t>
      </w:r>
    </w:p>
    <w:p w14:paraId="6507C1E4"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Sondern weil ihr sonst einen vermeidbaren Fehler produziert.</w:t>
      </w:r>
    </w:p>
    <w:p w14:paraId="75A63871"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 xml:space="preserve">Ich würde ein </w:t>
      </w:r>
      <w:r w:rsidRPr="00AE6C5D">
        <w:rPr>
          <w:rFonts w:ascii="Times New Roman" w:eastAsia="Times New Roman" w:hAnsi="Times New Roman" w:cs="Times New Roman"/>
          <w:b/>
          <w:bCs/>
          <w:kern w:val="0"/>
          <w:lang w:eastAsia="de-DE"/>
          <w14:ligatures w14:val="none"/>
        </w:rPr>
        <w:t>80/20-System</w:t>
      </w:r>
      <w:r w:rsidRPr="00AE6C5D">
        <w:rPr>
          <w:rFonts w:ascii="Times New Roman" w:eastAsia="Times New Roman" w:hAnsi="Times New Roman" w:cs="Times New Roman"/>
          <w:kern w:val="0"/>
          <w:lang w:eastAsia="de-DE"/>
          <w14:ligatures w14:val="none"/>
        </w:rPr>
        <w:t xml:space="preserve"> machen:</w:t>
      </w:r>
    </w:p>
    <w:p w14:paraId="04D0477B"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b/>
          <w:bCs/>
          <w:kern w:val="0"/>
          <w:lang w:eastAsia="de-DE"/>
          <w14:ligatures w14:val="none"/>
        </w:rPr>
        <w:t>80 % identischer Bundeskern.</w:t>
      </w:r>
    </w:p>
    <w:p w14:paraId="4552F9E6"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Dieselben Anträge, dieselbe BVerwG-Argumentation, dieselben vier Gutachten, dasselbe Forschungsdesign, derselbe Art.-19-Abs.-4-GG-Gedankengang.</w:t>
      </w:r>
    </w:p>
    <w:p w14:paraId="1B49B995"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b/>
          <w:bCs/>
          <w:kern w:val="0"/>
          <w:lang w:eastAsia="de-DE"/>
          <w14:ligatures w14:val="none"/>
        </w:rPr>
        <w:t>20 % individuelles Modul.</w:t>
      </w:r>
    </w:p>
    <w:p w14:paraId="7661587A"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Je Kläger:</w:t>
      </w:r>
    </w:p>
    <w:p w14:paraId="0F8C27E0"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früheres Gericht, Aktenzeichen, maßgeblicher Beitragszeitraum, was dort konkret vorgetragen wurde, welche Gutachten vorlagen, weshalb es scheiterte, welcher neue Zugang beantragt wurde, bei wem, wann, welche konkrete Antwort kam und warum kein gleichwertiger alternativer Erkenntnisweg existiert.</w:t>
      </w:r>
    </w:p>
    <w:p w14:paraId="0EE270E7"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Gerade die Musterfeststellungsklage verlangt das bereits selbst. Sie sieht ausdrücklich vor, die konkrete gerichtliche Behandlung des V-Gutachtens, Rundfunkalarm-Gutachtens, Kurz-/Grundlagengutachtens und die Reaktion auf Beweisanträge individuell einzusetzen.</w:t>
      </w:r>
    </w:p>
    <w:p w14:paraId="20120E0F"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b/>
          <w:bCs/>
          <w:kern w:val="0"/>
          <w:lang w:eastAsia="de-DE"/>
          <w14:ligatures w14:val="none"/>
        </w:rPr>
        <w:t>Diesen Teil würde ich nicht optional behandeln. Er ist der wichtigste Teil jeder einzelnen Klage.</w:t>
      </w:r>
    </w:p>
    <w:p w14:paraId="6FB21B81" w14:textId="77777777" w:rsidR="00AE6C5D" w:rsidRPr="00AE6C5D" w:rsidRDefault="00AE6C5D" w:rsidP="00AE6C5D">
      <w:pPr>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pict w14:anchorId="79083CA8">
          <v:rect id="_x0000_i1033" style="width:0;height:1.5pt" o:hralign="center" o:hrstd="t" o:hr="t" fillcolor="#a0a0a0" stroked="f"/>
        </w:pict>
      </w:r>
    </w:p>
    <w:p w14:paraId="1ED61DB3" w14:textId="77777777" w:rsidR="00AE6C5D" w:rsidRPr="00AE6C5D" w:rsidRDefault="00AE6C5D" w:rsidP="00AE6C5D">
      <w:pPr>
        <w:spacing w:before="100" w:beforeAutospacing="1" w:after="100" w:afterAutospacing="1"/>
        <w:outlineLvl w:val="0"/>
        <w:rPr>
          <w:rFonts w:ascii="Times New Roman" w:eastAsia="Times New Roman" w:hAnsi="Times New Roman" w:cs="Times New Roman"/>
          <w:b/>
          <w:bCs/>
          <w:kern w:val="36"/>
          <w:sz w:val="48"/>
          <w:szCs w:val="48"/>
          <w:lang w:eastAsia="de-DE"/>
          <w14:ligatures w14:val="none"/>
        </w:rPr>
      </w:pPr>
      <w:r w:rsidRPr="00AE6C5D">
        <w:rPr>
          <w:rFonts w:ascii="Times New Roman" w:eastAsia="Times New Roman" w:hAnsi="Times New Roman" w:cs="Times New Roman"/>
          <w:b/>
          <w:bCs/>
          <w:kern w:val="36"/>
          <w:sz w:val="48"/>
          <w:szCs w:val="48"/>
          <w:lang w:eastAsia="de-DE"/>
          <w14:ligatures w14:val="none"/>
        </w:rPr>
        <w:t>Meine konkrete Bewertung der Erfolgschancen</w:t>
      </w:r>
    </w:p>
    <w:p w14:paraId="173E1CD8"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lastRenderedPageBreak/>
        <w:t xml:space="preserve">Die </w:t>
      </w:r>
      <w:r w:rsidRPr="00AE6C5D">
        <w:rPr>
          <w:rFonts w:ascii="Times New Roman" w:eastAsia="Times New Roman" w:hAnsi="Times New Roman" w:cs="Times New Roman"/>
          <w:b/>
          <w:bCs/>
          <w:kern w:val="0"/>
          <w:lang w:eastAsia="de-DE"/>
          <w14:ligatures w14:val="none"/>
        </w:rPr>
        <w:t>materielle Idee</w:t>
      </w:r>
      <w:r w:rsidRPr="00AE6C5D">
        <w:rPr>
          <w:rFonts w:ascii="Times New Roman" w:eastAsia="Times New Roman" w:hAnsi="Times New Roman" w:cs="Times New Roman"/>
          <w:kern w:val="0"/>
          <w:lang w:eastAsia="de-DE"/>
          <w14:ligatures w14:val="none"/>
        </w:rPr>
        <w:t xml:space="preserve"> halte ich für stark.</w:t>
      </w:r>
    </w:p>
    <w:p w14:paraId="44E54284"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 xml:space="preserve">Die </w:t>
      </w:r>
      <w:r w:rsidRPr="00AE6C5D">
        <w:rPr>
          <w:rFonts w:ascii="Times New Roman" w:eastAsia="Times New Roman" w:hAnsi="Times New Roman" w:cs="Times New Roman"/>
          <w:b/>
          <w:bCs/>
          <w:kern w:val="0"/>
          <w:lang w:eastAsia="de-DE"/>
          <w14:ligatures w14:val="none"/>
        </w:rPr>
        <w:t>Feststellungsklage als Vehikel</w:t>
      </w:r>
      <w:r w:rsidRPr="00AE6C5D">
        <w:rPr>
          <w:rFonts w:ascii="Times New Roman" w:eastAsia="Times New Roman" w:hAnsi="Times New Roman" w:cs="Times New Roman"/>
          <w:kern w:val="0"/>
          <w:lang w:eastAsia="de-DE"/>
          <w14:ligatures w14:val="none"/>
        </w:rPr>
        <w:t xml:space="preserve"> halte ich für vertretbar, aber keineswegs risikolos.</w:t>
      </w:r>
    </w:p>
    <w:p w14:paraId="2A3596B3"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Der stärkste mögliche gerichtliche Einwand lautet aus meiner Sicht nicht:</w:t>
      </w:r>
    </w:p>
    <w:p w14:paraId="64E31536"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„Es gibt keinen Erkenntnisnotstand.“</w:t>
      </w:r>
    </w:p>
    <w:p w14:paraId="76B19DB1"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Sondern:</w:t>
      </w:r>
    </w:p>
    <w:p w14:paraId="16FB90C8"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b/>
          <w:bCs/>
          <w:kern w:val="0"/>
          <w:lang w:eastAsia="de-DE"/>
          <w14:ligatures w14:val="none"/>
        </w:rPr>
        <w:t>„Die Kläger begehren lediglich die abstrakte Vorabklärung einer Frage, die erst in einem künftigen Beitragsprozess entscheidungserheblich wird; dafür fehlt ein feststellungsfähiges aktuelles Rechtsverhältnis bzw. § 43 Abs. 2 VwGO steht entgegen.“</w:t>
      </w:r>
    </w:p>
    <w:p w14:paraId="4BEDF756"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Genau dort muss die Hauptarbeit hin.</w:t>
      </w:r>
    </w:p>
    <w:p w14:paraId="03367E4E"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Danach kommt:</w:t>
      </w:r>
    </w:p>
    <w:p w14:paraId="5C982491"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b/>
          <w:bCs/>
          <w:kern w:val="0"/>
          <w:lang w:eastAsia="de-DE"/>
          <w14:ligatures w14:val="none"/>
        </w:rPr>
        <w:t>„Der Zugang zu bestimmten Daten ist gar nicht zwingend erforderlich; eine repräsentative Untersuchung öffentlich verfügbarer Materialien wäre möglich.“</w:t>
      </w:r>
    </w:p>
    <w:p w14:paraId="53BFAB4A"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Und erst an dritter Stelle kommt:</w:t>
      </w:r>
    </w:p>
    <w:p w14:paraId="7B1B13D7"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„Sekundäre Darlegungslast gibt es nicht.“</w:t>
      </w:r>
    </w:p>
    <w:p w14:paraId="58D516C4"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Deshalb würde ich euren Kern nicht auf den Satz aufbauen:</w:t>
      </w:r>
    </w:p>
    <w:p w14:paraId="01D73A31"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„Wir brauchen zwingend alle Rundfunkdaten.“</w:t>
      </w:r>
    </w:p>
    <w:p w14:paraId="38E02D3D"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Sondern:</w:t>
      </w:r>
    </w:p>
    <w:p w14:paraId="0B3442ED"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b/>
          <w:bCs/>
          <w:kern w:val="0"/>
          <w:lang w:eastAsia="de-DE"/>
          <w14:ligatures w14:val="none"/>
        </w:rPr>
        <w:t>„Wir haben konkret versucht, eine wissenschaftlich reproduzierbare Untersuchung zu ermöglichen. Sämtliche realistischen abgestuften Zugangswege – einschließlich Bestandsauskunft, Präsenzsichtung, Pilotzugang, Transkripten und technischen Metadaten – wurden ausgeschöpft. Nun muss rechtlich geklärt werden, welche Folgen diese tatsächlich dokumentierte Erkenntnisbarriere für die vom BVerwG verlangte Substantiierung hat.“</w:t>
      </w:r>
    </w:p>
    <w:p w14:paraId="6EF82655"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Das ist viel schwerer abzuschießen.</w:t>
      </w:r>
    </w:p>
    <w:p w14:paraId="40E37979" w14:textId="77777777" w:rsidR="00AE6C5D" w:rsidRPr="00AE6C5D" w:rsidRDefault="001C7E4C" w:rsidP="00AE6C5D">
      <w:pPr>
        <w:rPr>
          <w:rFonts w:ascii="Times New Roman" w:eastAsia="Times New Roman" w:hAnsi="Times New Roman" w:cs="Times New Roman"/>
          <w:kern w:val="0"/>
          <w:lang w:eastAsia="de-DE"/>
          <w14:ligatures w14:val="none"/>
        </w:rPr>
      </w:pPr>
      <w:r>
        <w:rPr>
          <w:noProof/>
        </w:rPr>
      </w:r>
      <w:r>
        <w:pict w14:anchorId="0B2AF2F5">
          <v:rect id="Horizontal Line 10" o:spid="_x0000_s1026" style="width:453.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" filled="f">
            <o:lock v:ext="edit" rotation="t" aspectratio="t" verticies="t" text="t" shapetype="t"/>
            <w10:anchorlock/>
          </v:rect>
        </w:pict>
      </w:r>
    </w:p>
    <w:p w14:paraId="71B7F4B1" w14:textId="77777777" w:rsidR="00AE6C5D" w:rsidRPr="00AE6C5D" w:rsidRDefault="00AE6C5D" w:rsidP="00AE6C5D">
      <w:pPr>
        <w:spacing w:before="100" w:beforeAutospacing="1" w:after="100" w:afterAutospacing="1"/>
        <w:outlineLvl w:val="0"/>
        <w:rPr>
          <w:rFonts w:ascii="Times New Roman" w:eastAsia="Times New Roman" w:hAnsi="Times New Roman" w:cs="Times New Roman"/>
          <w:b/>
          <w:bCs/>
          <w:kern w:val="36"/>
          <w:sz w:val="48"/>
          <w:szCs w:val="48"/>
          <w:lang w:eastAsia="de-DE"/>
          <w14:ligatures w14:val="none"/>
        </w:rPr>
      </w:pPr>
      <w:r w:rsidRPr="00AE6C5D">
        <w:rPr>
          <w:rFonts w:ascii="Times New Roman" w:eastAsia="Times New Roman" w:hAnsi="Times New Roman" w:cs="Times New Roman"/>
          <w:b/>
          <w:bCs/>
          <w:kern w:val="36"/>
          <w:sz w:val="48"/>
          <w:szCs w:val="48"/>
          <w:lang w:eastAsia="de-DE"/>
          <w14:ligatures w14:val="none"/>
        </w:rPr>
        <w:t>Mein Gesamtvotum</w:t>
      </w:r>
    </w:p>
    <w:p w14:paraId="39330D0F"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b/>
          <w:bCs/>
          <w:kern w:val="0"/>
          <w:lang w:eastAsia="de-DE"/>
          <w14:ligatures w14:val="none"/>
        </w:rPr>
        <w:t>Die neue Feststellungsklage ist strategisch deutlich besser als eine weitere Runde der alten Beitragsklagen.</w:t>
      </w:r>
    </w:p>
    <w:p w14:paraId="7688BB5B"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 xml:space="preserve">Und Düsseldorf macht die Idee nicht schwächer, sondern eigentlich stärker: Das Gericht hat selbst demonstriert, dass umfangreicher politischer und programmbezogener Vortrag nicht </w:t>
      </w:r>
      <w:r w:rsidRPr="00AE6C5D">
        <w:rPr>
          <w:rFonts w:ascii="Times New Roman" w:eastAsia="Times New Roman" w:hAnsi="Times New Roman" w:cs="Times New Roman"/>
          <w:kern w:val="0"/>
          <w:lang w:eastAsia="de-DE"/>
          <w14:ligatures w14:val="none"/>
        </w:rPr>
        <w:lastRenderedPageBreak/>
        <w:t>genügt; es verlangt eine wissenschaftliche Gesamtanalyse, lehnt aber zugleich Amtsermittlung und sekundäre Darlegungslast mangels ausreichender Substantiierung ab.</w:t>
      </w:r>
    </w:p>
    <w:p w14:paraId="76889A20"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b/>
          <w:bCs/>
          <w:kern w:val="0"/>
          <w:lang w:eastAsia="de-DE"/>
          <w14:ligatures w14:val="none"/>
        </w:rPr>
        <w:t>Genau diese reale Erfahrung ist jetzt der Tatsachenkern der nächsten Prozessgeneration.</w:t>
      </w:r>
    </w:p>
    <w:p w14:paraId="718DB86E"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Ich würde deshalb nicht mehr formulieren:</w:t>
      </w:r>
    </w:p>
    <w:p w14:paraId="64E94912"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„Wir wollen vor 51 Gerichten beweisen, dass kein Durchkommen ist.“</w:t>
      </w:r>
    </w:p>
    <w:p w14:paraId="64A53425"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Das klingt, als stünde das Ergebnis schon fest.</w:t>
      </w:r>
    </w:p>
    <w:p w14:paraId="30CE4BE7"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Stärker ist:</w:t>
      </w:r>
    </w:p>
    <w:p w14:paraId="7542BC4C"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b/>
          <w:bCs/>
          <w:kern w:val="0"/>
          <w:lang w:eastAsia="de-DE"/>
          <w14:ligatures w14:val="none"/>
        </w:rPr>
        <w:t>„Wir wollen vor den zuständigen Verwaltungsgerichten bundesweit gerichtlich klären lassen, welche Rechtsfolgen eintreten, wenn ein höchstrichterlich eröffneter Einwand einen wissenschaftlichen Tatsachennachweis verlangt, die konkret hierfür beantragten und tatsächlich benötigten Erkenntnisgrundlagen aber nicht zugänglich gemacht werden.“</w:t>
      </w:r>
    </w:p>
    <w:p w14:paraId="1C3EB895"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Wenn am Ende die Rechtsprechung bundesweit sagt:</w:t>
      </w:r>
    </w:p>
    <w:p w14:paraId="2D3BE11B"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Vollgutachten erforderlich – kein Datenzugang – keine Amtsermittlung – keine Erleichterung,</w:t>
      </w:r>
    </w:p>
    <w:p w14:paraId="6D378C64"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b/>
          <w:bCs/>
          <w:kern w:val="0"/>
          <w:lang w:eastAsia="de-DE"/>
          <w14:ligatures w14:val="none"/>
        </w:rPr>
        <w:t>dann habt ihr den von euch behaupteten praktischen Rechtsschutzkonflikt nicht mehr nur beschrieben. Dann habt ihr ihn empirisch dokumentiert.</w:t>
      </w:r>
    </w:p>
    <w:p w14:paraId="0711D264" w14:textId="77777777" w:rsidR="00AE6C5D" w:rsidRPr="00AE6C5D" w:rsidRDefault="00AE6C5D" w:rsidP="00AE6C5D">
      <w:pPr>
        <w:spacing w:before="100" w:beforeAutospacing="1" w:after="100" w:afterAutospacing="1"/>
        <w:rPr>
          <w:rFonts w:ascii="Times New Roman" w:eastAsia="Times New Roman" w:hAnsi="Times New Roman" w:cs="Times New Roman"/>
          <w:kern w:val="0"/>
          <w:lang w:eastAsia="de-DE"/>
          <w14:ligatures w14:val="none"/>
        </w:rPr>
      </w:pPr>
      <w:r w:rsidRPr="00AE6C5D">
        <w:rPr>
          <w:rFonts w:ascii="Times New Roman" w:eastAsia="Times New Roman" w:hAnsi="Times New Roman" w:cs="Times New Roman"/>
          <w:kern w:val="0"/>
          <w:lang w:eastAsia="de-DE"/>
          <w14:ligatures w14:val="none"/>
        </w:rPr>
        <w:t>Das ist die eigentliche Stärke des Plans.</w:t>
      </w:r>
    </w:p>
    <w:p w14:paraId="1F604C0B" w14:textId="77777777" w:rsidR="00A43773" w:rsidRDefault="00A43773"/>
    <w:sectPr w:rsidR="00A43773" w:rsidSect="00F167F6">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C550E29"/>
    <w:multiLevelType w:val="multilevel"/>
    <w:tmpl w:val="FBD0F1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1370587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74"/>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C5D"/>
    <w:rsid w:val="00017A87"/>
    <w:rsid w:val="00121B4E"/>
    <w:rsid w:val="001C7E4C"/>
    <w:rsid w:val="001F5050"/>
    <w:rsid w:val="00331A61"/>
    <w:rsid w:val="003646BB"/>
    <w:rsid w:val="00383614"/>
    <w:rsid w:val="003C17E5"/>
    <w:rsid w:val="003F40FE"/>
    <w:rsid w:val="00731D20"/>
    <w:rsid w:val="007A7DCB"/>
    <w:rsid w:val="00813DAF"/>
    <w:rsid w:val="008D5A46"/>
    <w:rsid w:val="009652BE"/>
    <w:rsid w:val="009F355A"/>
    <w:rsid w:val="00A11C70"/>
    <w:rsid w:val="00A43773"/>
    <w:rsid w:val="00AE6C5D"/>
    <w:rsid w:val="00D0662A"/>
    <w:rsid w:val="00D91EEA"/>
    <w:rsid w:val="00EB6A89"/>
    <w:rsid w:val="00F167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80E2F76"/>
  <w15:chartTrackingRefBased/>
  <w15:docId w15:val="{FB7957FB-1A30-0A45-90F1-208FB074C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E6C5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unhideWhenUsed/>
    <w:qFormat/>
    <w:rsid w:val="00AE6C5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AE6C5D"/>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AE6C5D"/>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AE6C5D"/>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AE6C5D"/>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E6C5D"/>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E6C5D"/>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E6C5D"/>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E6C5D"/>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rsid w:val="00AE6C5D"/>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AE6C5D"/>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AE6C5D"/>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AE6C5D"/>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AE6C5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E6C5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E6C5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E6C5D"/>
    <w:rPr>
      <w:rFonts w:eastAsiaTheme="majorEastAsia" w:cstheme="majorBidi"/>
      <w:color w:val="272727" w:themeColor="text1" w:themeTint="D8"/>
    </w:rPr>
  </w:style>
  <w:style w:type="paragraph" w:styleId="Titel">
    <w:name w:val="Title"/>
    <w:basedOn w:val="Standard"/>
    <w:next w:val="Standard"/>
    <w:link w:val="TitelZchn"/>
    <w:uiPriority w:val="10"/>
    <w:qFormat/>
    <w:rsid w:val="00AE6C5D"/>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E6C5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E6C5D"/>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E6C5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E6C5D"/>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AE6C5D"/>
    <w:rPr>
      <w:i/>
      <w:iCs/>
      <w:color w:val="404040" w:themeColor="text1" w:themeTint="BF"/>
    </w:rPr>
  </w:style>
  <w:style w:type="paragraph" w:styleId="Listenabsatz">
    <w:name w:val="List Paragraph"/>
    <w:basedOn w:val="Standard"/>
    <w:uiPriority w:val="34"/>
    <w:qFormat/>
    <w:rsid w:val="00AE6C5D"/>
    <w:pPr>
      <w:ind w:left="720"/>
      <w:contextualSpacing/>
    </w:pPr>
  </w:style>
  <w:style w:type="character" w:styleId="IntensiveHervorhebung">
    <w:name w:val="Intense Emphasis"/>
    <w:basedOn w:val="Absatz-Standardschriftart"/>
    <w:uiPriority w:val="21"/>
    <w:qFormat/>
    <w:rsid w:val="00AE6C5D"/>
    <w:rPr>
      <w:i/>
      <w:iCs/>
      <w:color w:val="2F5496" w:themeColor="accent1" w:themeShade="BF"/>
    </w:rPr>
  </w:style>
  <w:style w:type="paragraph" w:styleId="IntensivesZitat">
    <w:name w:val="Intense Quote"/>
    <w:basedOn w:val="Standard"/>
    <w:next w:val="Standard"/>
    <w:link w:val="IntensivesZitatZchn"/>
    <w:uiPriority w:val="30"/>
    <w:qFormat/>
    <w:rsid w:val="00AE6C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AE6C5D"/>
    <w:rPr>
      <w:i/>
      <w:iCs/>
      <w:color w:val="2F5496" w:themeColor="accent1" w:themeShade="BF"/>
    </w:rPr>
  </w:style>
  <w:style w:type="character" w:styleId="IntensiverVerweis">
    <w:name w:val="Intense Reference"/>
    <w:basedOn w:val="Absatz-Standardschriftart"/>
    <w:uiPriority w:val="32"/>
    <w:qFormat/>
    <w:rsid w:val="00AE6C5D"/>
    <w:rPr>
      <w:b/>
      <w:bCs/>
      <w:smallCaps/>
      <w:color w:val="2F5496" w:themeColor="accent1" w:themeShade="BF"/>
      <w:spacing w:val="5"/>
    </w:rPr>
  </w:style>
  <w:style w:type="paragraph" w:styleId="StandardWeb">
    <w:name w:val="Normal (Web)"/>
    <w:basedOn w:val="Standard"/>
    <w:uiPriority w:val="99"/>
    <w:semiHidden/>
    <w:unhideWhenUsed/>
    <w:rsid w:val="00AE6C5D"/>
    <w:pPr>
      <w:spacing w:before="100" w:beforeAutospacing="1" w:after="100" w:afterAutospacing="1"/>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AE6C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2176</Words>
  <Characters>13711</Characters>
  <Application>Microsoft Office Word</Application>
  <DocSecurity>0</DocSecurity>
  <Lines>114</Lines>
  <Paragraphs>31</Paragraphs>
  <ScaleCrop>false</ScaleCrop>
  <Company/>
  <LinksUpToDate>false</LinksUpToDate>
  <CharactersWithSpaces>15856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Bönig, Carlotta (Abi28A)</dc:creator>
  <cp:keywords/>
  <dc:description/>
  <cp:lastModifiedBy>Bönig, Carlotta (Abi28A)</cp:lastModifiedBy>
  <cp:revision>1</cp:revision>
  <dcterms:created xsi:type="dcterms:W3CDTF">2026-08-16T16:55:00Z</dcterms:created>
  <dcterms:modified xsi:type="dcterms:W3CDTF">2026-08-16T16:55:00Z</dcterms:modified>
</cp:coreProperties>
</file>