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B881C" w14:textId="77777777" w:rsidR="00C3792C" w:rsidRPr="00C3792C" w:rsidRDefault="00C3792C" w:rsidP="00C3792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C3792C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Verwendungshinweis (für euch intern oder für die Nutzer)</w:t>
      </w:r>
    </w:p>
    <w:p w14:paraId="26E16A6C" w14:textId="77777777" w:rsidR="00C3792C" w:rsidRPr="00C3792C" w:rsidRDefault="00C3792C" w:rsidP="00C3792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C3792C">
        <w:rPr>
          <w:rFonts w:ascii="Times New Roman" w:eastAsia="Times New Roman" w:hAnsi="Times New Roman" w:cs="Times New Roman"/>
          <w:b/>
          <w:bCs/>
          <w:lang w:eastAsia="de-DE"/>
        </w:rPr>
        <w:t>Dieses Schreiben wird parallel</w:t>
      </w:r>
      <w:r w:rsidRPr="00C3792C">
        <w:rPr>
          <w:rFonts w:ascii="Times New Roman" w:eastAsia="Times New Roman" w:hAnsi="Times New Roman" w:cs="Times New Roman"/>
          <w:lang w:eastAsia="de-DE"/>
        </w:rPr>
        <w:br/>
        <w:t xml:space="preserve">– an die zuständige </w:t>
      </w:r>
      <w:r w:rsidRPr="00C3792C">
        <w:rPr>
          <w:rFonts w:ascii="Times New Roman" w:eastAsia="Times New Roman" w:hAnsi="Times New Roman" w:cs="Times New Roman"/>
          <w:b/>
          <w:bCs/>
          <w:lang w:eastAsia="de-DE"/>
        </w:rPr>
        <w:t>Landesrundfunkanstalt</w:t>
      </w:r>
      <w:r w:rsidRPr="00C3792C">
        <w:rPr>
          <w:rFonts w:ascii="Times New Roman" w:eastAsia="Times New Roman" w:hAnsi="Times New Roman" w:cs="Times New Roman"/>
          <w:lang w:eastAsia="de-DE"/>
        </w:rPr>
        <w:t>,</w:t>
      </w:r>
      <w:r w:rsidRPr="00C3792C">
        <w:rPr>
          <w:rFonts w:ascii="Times New Roman" w:eastAsia="Times New Roman" w:hAnsi="Times New Roman" w:cs="Times New Roman"/>
          <w:lang w:eastAsia="de-DE"/>
        </w:rPr>
        <w:br/>
        <w:t xml:space="preserve">– an das </w:t>
      </w:r>
      <w:r w:rsidRPr="00C3792C">
        <w:rPr>
          <w:rFonts w:ascii="Times New Roman" w:eastAsia="Times New Roman" w:hAnsi="Times New Roman" w:cs="Times New Roman"/>
          <w:b/>
          <w:bCs/>
          <w:lang w:eastAsia="de-DE"/>
        </w:rPr>
        <w:t>ZDF</w:t>
      </w:r>
      <w:r w:rsidRPr="00C3792C">
        <w:rPr>
          <w:rFonts w:ascii="Times New Roman" w:eastAsia="Times New Roman" w:hAnsi="Times New Roman" w:cs="Times New Roman"/>
          <w:lang w:eastAsia="de-DE"/>
        </w:rPr>
        <w:t>,</w:t>
      </w:r>
      <w:r w:rsidRPr="00C3792C">
        <w:rPr>
          <w:rFonts w:ascii="Times New Roman" w:eastAsia="Times New Roman" w:hAnsi="Times New Roman" w:cs="Times New Roman"/>
          <w:lang w:eastAsia="de-DE"/>
        </w:rPr>
        <w:br/>
        <w:t xml:space="preserve">– an das </w:t>
      </w:r>
      <w:r w:rsidRPr="00C3792C">
        <w:rPr>
          <w:rFonts w:ascii="Times New Roman" w:eastAsia="Times New Roman" w:hAnsi="Times New Roman" w:cs="Times New Roman"/>
          <w:b/>
          <w:bCs/>
          <w:lang w:eastAsia="de-DE"/>
        </w:rPr>
        <w:t>Deutschlandradio</w:t>
      </w:r>
      <w:r w:rsidRPr="00C3792C">
        <w:rPr>
          <w:rFonts w:ascii="Times New Roman" w:eastAsia="Times New Roman" w:hAnsi="Times New Roman" w:cs="Times New Roman"/>
          <w:lang w:eastAsia="de-DE"/>
        </w:rPr>
        <w:br/>
        <w:t>gesendet.</w:t>
      </w:r>
    </w:p>
    <w:p w14:paraId="30BC7951" w14:textId="77777777" w:rsidR="00C3792C" w:rsidRPr="00C3792C" w:rsidRDefault="00C3792C" w:rsidP="00C3792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C3792C">
        <w:rPr>
          <w:rFonts w:ascii="Times New Roman" w:eastAsia="Times New Roman" w:hAnsi="Times New Roman" w:cs="Times New Roman"/>
          <w:b/>
          <w:bCs/>
          <w:lang w:eastAsia="de-DE"/>
        </w:rPr>
        <w:t>Per Einwurf-Einschreiben oder Fax mit Sendebericht</w:t>
      </w:r>
      <w:r w:rsidRPr="00C3792C">
        <w:rPr>
          <w:rFonts w:ascii="Times New Roman" w:eastAsia="Times New Roman" w:hAnsi="Times New Roman" w:cs="Times New Roman"/>
          <w:lang w:eastAsia="de-DE"/>
        </w:rPr>
        <w:t>.</w:t>
      </w:r>
    </w:p>
    <w:p w14:paraId="4986E839" w14:textId="77777777" w:rsidR="00C3792C" w:rsidRPr="00C3792C" w:rsidRDefault="00C3792C" w:rsidP="00C3792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C3792C">
        <w:rPr>
          <w:rFonts w:ascii="Times New Roman" w:eastAsia="Times New Roman" w:hAnsi="Times New Roman" w:cs="Times New Roman"/>
          <w:b/>
          <w:bCs/>
          <w:lang w:eastAsia="de-DE"/>
        </w:rPr>
        <w:t>Eine Kopie geht jeweils an das Verwaltungsgericht</w:t>
      </w:r>
      <w:r w:rsidRPr="00C3792C">
        <w:rPr>
          <w:rFonts w:ascii="Times New Roman" w:eastAsia="Times New Roman" w:hAnsi="Times New Roman" w:cs="Times New Roman"/>
          <w:lang w:eastAsia="de-DE"/>
        </w:rPr>
        <w:t xml:space="preserve"> (zur Akte).</w:t>
      </w:r>
    </w:p>
    <w:p w14:paraId="5787BDB4" w14:textId="77777777" w:rsidR="00C3792C" w:rsidRDefault="00C3792C" w:rsidP="00C3792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C3792C">
        <w:rPr>
          <w:rFonts w:ascii="Times New Roman" w:eastAsia="Times New Roman" w:hAnsi="Times New Roman" w:cs="Times New Roman"/>
          <w:lang w:eastAsia="de-DE"/>
        </w:rPr>
        <w:t>Ziel:</w:t>
      </w:r>
      <w:r w:rsidRPr="00C3792C">
        <w:rPr>
          <w:rFonts w:ascii="Times New Roman" w:eastAsia="Times New Roman" w:hAnsi="Times New Roman" w:cs="Times New Roman"/>
          <w:lang w:eastAsia="de-DE"/>
        </w:rPr>
        <w:br/>
      </w:r>
      <w:r w:rsidRPr="00C3792C">
        <w:rPr>
          <w:rFonts w:ascii="Times New Roman" w:eastAsia="Times New Roman" w:hAnsi="Times New Roman" w:cs="Times New Roman"/>
          <w:b/>
          <w:bCs/>
          <w:lang w:eastAsia="de-DE"/>
        </w:rPr>
        <w:t>Verfahren nicht entscheidungsreif machen</w:t>
      </w:r>
      <w:r w:rsidRPr="00C3792C">
        <w:rPr>
          <w:rFonts w:ascii="Times New Roman" w:eastAsia="Times New Roman" w:hAnsi="Times New Roman" w:cs="Times New Roman"/>
          <w:lang w:eastAsia="de-DE"/>
        </w:rPr>
        <w:t xml:space="preserve"> und </w:t>
      </w:r>
      <w:r w:rsidRPr="00C3792C">
        <w:rPr>
          <w:rFonts w:ascii="Times New Roman" w:eastAsia="Times New Roman" w:hAnsi="Times New Roman" w:cs="Times New Roman"/>
          <w:b/>
          <w:bCs/>
          <w:lang w:eastAsia="de-DE"/>
        </w:rPr>
        <w:t>Amtsermittlung erzwingen</w:t>
      </w:r>
      <w:r w:rsidRPr="00C3792C">
        <w:rPr>
          <w:rFonts w:ascii="Times New Roman" w:eastAsia="Times New Roman" w:hAnsi="Times New Roman" w:cs="Times New Roman"/>
          <w:lang w:eastAsia="de-DE"/>
        </w:rPr>
        <w:t xml:space="preserve"> (§ 86 VwGO).</w:t>
      </w:r>
    </w:p>
    <w:p w14:paraId="454977D5" w14:textId="77777777" w:rsidR="00E05D45" w:rsidRDefault="00E05D45" w:rsidP="00E05D45">
      <w:pPr>
        <w:pBdr>
          <w:bottom w:val="single" w:sz="6" w:space="1" w:color="auto"/>
        </w:pBd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</w:p>
    <w:p w14:paraId="5FA27274" w14:textId="77777777" w:rsidR="00E05D45" w:rsidRPr="00E05D45" w:rsidRDefault="00E05D45" w:rsidP="00E05D4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E05D45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Warum dieses Vorgehen strategisch stark ist</w:t>
      </w:r>
    </w:p>
    <w:p w14:paraId="760DB650" w14:textId="77777777" w:rsidR="00E05D45" w:rsidRPr="00E05D45" w:rsidRDefault="00E05D45" w:rsidP="00E05D4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E05D45">
        <w:rPr>
          <w:rFonts w:ascii="Times New Roman" w:eastAsia="Times New Roman" w:hAnsi="Times New Roman" w:cs="Times New Roman"/>
          <w:lang w:eastAsia="de-DE"/>
        </w:rPr>
        <w:t xml:space="preserve">Das Gericht </w:t>
      </w:r>
      <w:r w:rsidRPr="00E05D45">
        <w:rPr>
          <w:rFonts w:ascii="Times New Roman" w:eastAsia="Times New Roman" w:hAnsi="Times New Roman" w:cs="Times New Roman"/>
          <w:b/>
          <w:bCs/>
          <w:lang w:eastAsia="de-DE"/>
        </w:rPr>
        <w:t>kann Beweisanträge nicht einfach ignorieren</w:t>
      </w:r>
      <w:r w:rsidRPr="00E05D45">
        <w:rPr>
          <w:rFonts w:ascii="Times New Roman" w:eastAsia="Times New Roman" w:hAnsi="Times New Roman" w:cs="Times New Roman"/>
          <w:lang w:eastAsia="de-DE"/>
        </w:rPr>
        <w:t xml:space="preserve"> (§ 86 Abs. 2 VwGO).</w:t>
      </w:r>
    </w:p>
    <w:p w14:paraId="071803AB" w14:textId="77777777" w:rsidR="00E05D45" w:rsidRPr="00E05D45" w:rsidRDefault="00E05D45" w:rsidP="00E05D4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E05D45">
        <w:rPr>
          <w:rFonts w:ascii="Times New Roman" w:eastAsia="Times New Roman" w:hAnsi="Times New Roman" w:cs="Times New Roman"/>
          <w:lang w:eastAsia="de-DE"/>
        </w:rPr>
        <w:t xml:space="preserve">Die Verfahren sind </w:t>
      </w:r>
      <w:r w:rsidRPr="00E05D45">
        <w:rPr>
          <w:rFonts w:ascii="Times New Roman" w:eastAsia="Times New Roman" w:hAnsi="Times New Roman" w:cs="Times New Roman"/>
          <w:b/>
          <w:bCs/>
          <w:lang w:eastAsia="de-DE"/>
        </w:rPr>
        <w:t>nicht mehr entscheidungsreif</w:t>
      </w:r>
      <w:r w:rsidRPr="00E05D45">
        <w:rPr>
          <w:rFonts w:ascii="Times New Roman" w:eastAsia="Times New Roman" w:hAnsi="Times New Roman" w:cs="Times New Roman"/>
          <w:lang w:eastAsia="de-DE"/>
        </w:rPr>
        <w:t>.</w:t>
      </w:r>
    </w:p>
    <w:p w14:paraId="3F515A1D" w14:textId="77777777" w:rsidR="00E05D45" w:rsidRPr="00E05D45" w:rsidRDefault="00E05D45" w:rsidP="00E05D4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E05D45">
        <w:rPr>
          <w:rFonts w:ascii="Times New Roman" w:eastAsia="Times New Roman" w:hAnsi="Times New Roman" w:cs="Times New Roman"/>
          <w:lang w:eastAsia="de-DE"/>
        </w:rPr>
        <w:t xml:space="preserve">Die Rundfunkanstalten geraten in eine </w:t>
      </w:r>
      <w:r w:rsidRPr="00E05D45">
        <w:rPr>
          <w:rFonts w:ascii="Times New Roman" w:eastAsia="Times New Roman" w:hAnsi="Times New Roman" w:cs="Times New Roman"/>
          <w:b/>
          <w:bCs/>
          <w:lang w:eastAsia="de-DE"/>
        </w:rPr>
        <w:t>sekundäre Darlegungslast</w:t>
      </w:r>
      <w:r w:rsidRPr="00E05D45">
        <w:rPr>
          <w:rFonts w:ascii="Times New Roman" w:eastAsia="Times New Roman" w:hAnsi="Times New Roman" w:cs="Times New Roman"/>
          <w:lang w:eastAsia="de-DE"/>
        </w:rPr>
        <w:t>, die sie faktisch kaum erfüllen können.</w:t>
      </w:r>
    </w:p>
    <w:p w14:paraId="2EFADDB5" w14:textId="77777777" w:rsidR="00E05D45" w:rsidRPr="00E05D45" w:rsidRDefault="00E05D45" w:rsidP="00E05D4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E05D45">
        <w:rPr>
          <w:rFonts w:ascii="Times New Roman" w:eastAsia="Times New Roman" w:hAnsi="Times New Roman" w:cs="Times New Roman"/>
          <w:lang w:eastAsia="de-DE"/>
        </w:rPr>
        <w:t>Es erzwingt entweder</w:t>
      </w:r>
      <w:r w:rsidRPr="00E05D45">
        <w:rPr>
          <w:rFonts w:ascii="Times New Roman" w:eastAsia="Times New Roman" w:hAnsi="Times New Roman" w:cs="Times New Roman"/>
          <w:lang w:eastAsia="de-DE"/>
        </w:rPr>
        <w:br/>
        <w:t xml:space="preserve">– </w:t>
      </w:r>
      <w:r w:rsidRPr="00E05D45">
        <w:rPr>
          <w:rFonts w:ascii="Times New Roman" w:eastAsia="Times New Roman" w:hAnsi="Times New Roman" w:cs="Times New Roman"/>
          <w:b/>
          <w:bCs/>
          <w:lang w:eastAsia="de-DE"/>
        </w:rPr>
        <w:t>Zeugenladungen</w:t>
      </w:r>
      <w:r w:rsidRPr="00E05D45">
        <w:rPr>
          <w:rFonts w:ascii="Times New Roman" w:eastAsia="Times New Roman" w:hAnsi="Times New Roman" w:cs="Times New Roman"/>
          <w:lang w:eastAsia="de-DE"/>
        </w:rPr>
        <w:t>,</w:t>
      </w:r>
      <w:r w:rsidRPr="00E05D45">
        <w:rPr>
          <w:rFonts w:ascii="Times New Roman" w:eastAsia="Times New Roman" w:hAnsi="Times New Roman" w:cs="Times New Roman"/>
          <w:lang w:eastAsia="de-DE"/>
        </w:rPr>
        <w:br/>
        <w:t xml:space="preserve">– </w:t>
      </w:r>
      <w:r w:rsidRPr="00E05D45">
        <w:rPr>
          <w:rFonts w:ascii="Times New Roman" w:eastAsia="Times New Roman" w:hAnsi="Times New Roman" w:cs="Times New Roman"/>
          <w:b/>
          <w:bCs/>
          <w:lang w:eastAsia="de-DE"/>
        </w:rPr>
        <w:t>Sachverständigengutachten</w:t>
      </w:r>
      <w:r w:rsidRPr="00E05D45">
        <w:rPr>
          <w:rFonts w:ascii="Times New Roman" w:eastAsia="Times New Roman" w:hAnsi="Times New Roman" w:cs="Times New Roman"/>
          <w:lang w:eastAsia="de-DE"/>
        </w:rPr>
        <w:t>,</w:t>
      </w:r>
      <w:r w:rsidRPr="00E05D45">
        <w:rPr>
          <w:rFonts w:ascii="Times New Roman" w:eastAsia="Times New Roman" w:hAnsi="Times New Roman" w:cs="Times New Roman"/>
          <w:lang w:eastAsia="de-DE"/>
        </w:rPr>
        <w:br/>
        <w:t xml:space="preserve">– oder eine </w:t>
      </w:r>
      <w:r w:rsidRPr="00E05D45">
        <w:rPr>
          <w:rFonts w:ascii="Times New Roman" w:eastAsia="Times New Roman" w:hAnsi="Times New Roman" w:cs="Times New Roman"/>
          <w:b/>
          <w:bCs/>
          <w:lang w:eastAsia="de-DE"/>
        </w:rPr>
        <w:t>Vertagung / Aussetzung</w:t>
      </w:r>
      <w:r w:rsidRPr="00E05D45">
        <w:rPr>
          <w:rFonts w:ascii="Times New Roman" w:eastAsia="Times New Roman" w:hAnsi="Times New Roman" w:cs="Times New Roman"/>
          <w:lang w:eastAsia="de-DE"/>
        </w:rPr>
        <w:t>.</w:t>
      </w:r>
    </w:p>
    <w:p w14:paraId="6918340E" w14:textId="77777777" w:rsidR="00E05D45" w:rsidRPr="00E05D45" w:rsidRDefault="00E05D45" w:rsidP="00E05D4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E05D45">
        <w:rPr>
          <w:rFonts w:ascii="Times New Roman" w:eastAsia="Times New Roman" w:hAnsi="Times New Roman" w:cs="Times New Roman"/>
          <w:lang w:eastAsia="de-DE"/>
        </w:rPr>
        <w:t>Kurz gesagt:</w:t>
      </w:r>
      <w:r w:rsidRPr="00E05D45">
        <w:rPr>
          <w:rFonts w:ascii="Times New Roman" w:eastAsia="Times New Roman" w:hAnsi="Times New Roman" w:cs="Times New Roman"/>
          <w:lang w:eastAsia="de-DE"/>
        </w:rPr>
        <w:br/>
      </w:r>
      <w:r w:rsidRPr="00E05D45">
        <w:rPr>
          <w:rFonts w:ascii="Apple Color Emoji" w:eastAsia="Times New Roman" w:hAnsi="Apple Color Emoji" w:cs="Apple Color Emoji"/>
          <w:lang w:eastAsia="de-DE"/>
        </w:rPr>
        <w:t>👉</w:t>
      </w:r>
      <w:r w:rsidRPr="00E05D45">
        <w:rPr>
          <w:rFonts w:ascii="Times New Roman" w:eastAsia="Times New Roman" w:hAnsi="Times New Roman" w:cs="Times New Roman"/>
          <w:lang w:eastAsia="de-DE"/>
        </w:rPr>
        <w:t xml:space="preserve"> Das ist kein Symbolantrag.</w:t>
      </w:r>
      <w:r w:rsidRPr="00E05D45">
        <w:rPr>
          <w:rFonts w:ascii="Times New Roman" w:eastAsia="Times New Roman" w:hAnsi="Times New Roman" w:cs="Times New Roman"/>
          <w:lang w:eastAsia="de-DE"/>
        </w:rPr>
        <w:br/>
      </w:r>
      <w:r w:rsidRPr="00E05D45">
        <w:rPr>
          <w:rFonts w:ascii="Apple Color Emoji" w:eastAsia="Times New Roman" w:hAnsi="Apple Color Emoji" w:cs="Apple Color Emoji"/>
          <w:lang w:eastAsia="de-DE"/>
        </w:rPr>
        <w:t>👉</w:t>
      </w:r>
      <w:r w:rsidRPr="00E05D45">
        <w:rPr>
          <w:rFonts w:ascii="Times New Roman" w:eastAsia="Times New Roman" w:hAnsi="Times New Roman" w:cs="Times New Roman"/>
          <w:lang w:eastAsia="de-DE"/>
        </w:rPr>
        <w:t xml:space="preserve"> Das ist </w:t>
      </w:r>
      <w:r w:rsidRPr="00E05D45">
        <w:rPr>
          <w:rFonts w:ascii="Times New Roman" w:eastAsia="Times New Roman" w:hAnsi="Times New Roman" w:cs="Times New Roman"/>
          <w:b/>
          <w:bCs/>
          <w:lang w:eastAsia="de-DE"/>
        </w:rPr>
        <w:t>prozessuales Brecheisen</w:t>
      </w:r>
      <w:r w:rsidRPr="00E05D45">
        <w:rPr>
          <w:rFonts w:ascii="Times New Roman" w:eastAsia="Times New Roman" w:hAnsi="Times New Roman" w:cs="Times New Roman"/>
          <w:lang w:eastAsia="de-DE"/>
        </w:rPr>
        <w:t>.</w:t>
      </w:r>
    </w:p>
    <w:p w14:paraId="0FBE6E35" w14:textId="77777777" w:rsidR="00E05D45" w:rsidRPr="00C3792C" w:rsidRDefault="00E05D45" w:rsidP="00E05D4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</w:p>
    <w:p w14:paraId="7226AEF4" w14:textId="77777777" w:rsidR="004349F6" w:rsidRPr="004349F6" w:rsidRDefault="00920680" w:rsidP="004349F6">
      <w:pPr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noProof/>
          <w:lang w:eastAsia="de-DE"/>
        </w:rPr>
        <w:pict w14:anchorId="10AA2F72">
          <v:rect id="_x0000_i1031" alt="" style="width:452.7pt;height:.05pt;mso-width-percent:0;mso-height-percent:0;mso-width-percent:0;mso-height-percent:0" o:hrpct="998" o:hralign="center" o:hrstd="t" o:hr="t" fillcolor="#a0a0a0" stroked="f"/>
        </w:pict>
      </w:r>
    </w:p>
    <w:p w14:paraId="5112B23D" w14:textId="77777777" w:rsidR="004349F6" w:rsidRPr="004349F6" w:rsidRDefault="004349F6" w:rsidP="004349F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Warum diese zusätzlichen Anschreiben so wichtig sind</w:t>
      </w:r>
    </w:p>
    <w:p w14:paraId="554CA1B4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Der Anwalt verfolgt damit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drei Ziele gleichzeitig</w:t>
      </w:r>
      <w:r w:rsidRPr="004349F6">
        <w:rPr>
          <w:rFonts w:ascii="Times New Roman" w:eastAsia="Times New Roman" w:hAnsi="Times New Roman" w:cs="Times New Roman"/>
          <w:lang w:eastAsia="de-DE"/>
        </w:rPr>
        <w:t>:</w:t>
      </w:r>
    </w:p>
    <w:p w14:paraId="77E46488" w14:textId="77777777" w:rsidR="004349F6" w:rsidRPr="004349F6" w:rsidRDefault="004349F6" w:rsidP="004349F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Die Klagen aus der „Entscheidungsreife“ holen</w:t>
      </w:r>
      <w:r w:rsidRPr="004349F6">
        <w:rPr>
          <w:rFonts w:ascii="Times New Roman" w:eastAsia="Times New Roman" w:hAnsi="Times New Roman" w:cs="Times New Roman"/>
          <w:lang w:eastAsia="de-DE"/>
        </w:rPr>
        <w:br/>
        <w:t>Die Verwaltungsgerichte (Lüneburg, Berlin etc.) haben genau das gemacht:</w:t>
      </w:r>
      <w:r w:rsidRPr="004349F6">
        <w:rPr>
          <w:rFonts w:ascii="Times New Roman" w:eastAsia="Times New Roman" w:hAnsi="Times New Roman" w:cs="Times New Roman"/>
          <w:lang w:eastAsia="de-DE"/>
        </w:rPr>
        <w:br/>
      </w:r>
      <w:r w:rsidRPr="004349F6">
        <w:rPr>
          <w:rFonts w:ascii="Times New Roman" w:eastAsia="Times New Roman" w:hAnsi="Times New Roman" w:cs="Times New Roman"/>
          <w:i/>
          <w:iCs/>
          <w:lang w:eastAsia="de-DE"/>
        </w:rPr>
        <w:t>„Der Kläger behauptet nur, liefert aber nichts Konkretes → entscheidungsreif → Klage abweisen.“</w:t>
      </w:r>
    </w:p>
    <w:p w14:paraId="0FF1B610" w14:textId="77777777" w:rsidR="004349F6" w:rsidRPr="004349F6" w:rsidRDefault="004349F6" w:rsidP="004349F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Apple Color Emoji" w:eastAsia="Times New Roman" w:hAnsi="Apple Color Emoji" w:cs="Apple Color Emoji"/>
          <w:lang w:eastAsia="de-DE"/>
        </w:rPr>
        <w:t>👉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Mit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förmlichen Auskunftsanträgen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an</w:t>
      </w:r>
    </w:p>
    <w:p w14:paraId="46E232A5" w14:textId="77777777" w:rsidR="004349F6" w:rsidRPr="004349F6" w:rsidRDefault="004349F6" w:rsidP="004349F6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die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eigene Landesrundfunkanstalt</w:t>
      </w:r>
      <w:r w:rsidRPr="004349F6">
        <w:rPr>
          <w:rFonts w:ascii="Times New Roman" w:eastAsia="Times New Roman" w:hAnsi="Times New Roman" w:cs="Times New Roman"/>
          <w:lang w:eastAsia="de-DE"/>
        </w:rPr>
        <w:t>,</w:t>
      </w:r>
    </w:p>
    <w:p w14:paraId="6EBDAB92" w14:textId="77777777" w:rsidR="004349F6" w:rsidRPr="004349F6" w:rsidRDefault="004349F6" w:rsidP="004349F6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das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ZDF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und</w:t>
      </w:r>
    </w:p>
    <w:p w14:paraId="7D6BF2C0" w14:textId="77777777" w:rsidR="004349F6" w:rsidRPr="004349F6" w:rsidRDefault="004349F6" w:rsidP="004349F6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Deutschlandradio</w:t>
      </w:r>
    </w:p>
    <w:p w14:paraId="314CB38D" w14:textId="77777777" w:rsidR="004349F6" w:rsidRPr="004349F6" w:rsidRDefault="004349F6" w:rsidP="004349F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lastRenderedPageBreak/>
        <w:t>wird genau das verhindert.</w:t>
      </w:r>
    </w:p>
    <w:p w14:paraId="6690EF2D" w14:textId="77777777" w:rsidR="004349F6" w:rsidRPr="004349F6" w:rsidRDefault="004349F6" w:rsidP="004349F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Denn:</w:t>
      </w:r>
    </w:p>
    <w:p w14:paraId="61349213" w14:textId="77777777" w:rsidR="004349F6" w:rsidRPr="004349F6" w:rsidRDefault="004349F6" w:rsidP="004349F6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Solange diese Anträge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unbeantwortet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sind,</w:t>
      </w:r>
    </w:p>
    <w:p w14:paraId="38D4BEFD" w14:textId="77777777" w:rsidR="004349F6" w:rsidRPr="004349F6" w:rsidRDefault="004349F6" w:rsidP="004349F6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solange Daten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noch gesichert werden müssen</w:t>
      </w:r>
      <w:r w:rsidRPr="004349F6">
        <w:rPr>
          <w:rFonts w:ascii="Times New Roman" w:eastAsia="Times New Roman" w:hAnsi="Times New Roman" w:cs="Times New Roman"/>
          <w:lang w:eastAsia="de-DE"/>
        </w:rPr>
        <w:t>,</w:t>
      </w:r>
    </w:p>
    <w:p w14:paraId="54AFD2D1" w14:textId="77777777" w:rsidR="004349F6" w:rsidRPr="004349F6" w:rsidRDefault="004349F6" w:rsidP="004349F6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solange offen ist,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ob und wie Soll-Ist-Kontrollen existieren</w:t>
      </w:r>
      <w:r w:rsidRPr="004349F6">
        <w:rPr>
          <w:rFonts w:ascii="Times New Roman" w:eastAsia="Times New Roman" w:hAnsi="Times New Roman" w:cs="Times New Roman"/>
          <w:lang w:eastAsia="de-DE"/>
        </w:rPr>
        <w:t>,</w:t>
      </w:r>
    </w:p>
    <w:p w14:paraId="78376CC5" w14:textId="77777777" w:rsidR="004349F6" w:rsidRPr="004349F6" w:rsidRDefault="004349F6" w:rsidP="004349F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ist das Verfahren nicht entscheidungsreif (§ 86 VwGO).</w:t>
      </w:r>
    </w:p>
    <w:p w14:paraId="0154C166" w14:textId="77777777" w:rsidR="004349F6" w:rsidRPr="004349F6" w:rsidRDefault="00920680" w:rsidP="004349F6">
      <w:pPr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noProof/>
          <w:lang w:eastAsia="de-DE"/>
        </w:rPr>
        <w:pict w14:anchorId="1DE4B1E8">
          <v:rect id="_x0000_i1030" alt="" style="width:452.7pt;height:.05pt;mso-width-percent:0;mso-height-percent:0;mso-width-percent:0;mso-height-percent:0" o:hrpct="998" o:hralign="center" o:hrstd="t" o:hr="t" fillcolor="#a0a0a0" stroked="f"/>
        </w:pict>
      </w:r>
    </w:p>
    <w:p w14:paraId="2B8C14E3" w14:textId="77777777" w:rsidR="004349F6" w:rsidRPr="004349F6" w:rsidRDefault="004349F6" w:rsidP="004349F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Warum an </w:t>
      </w:r>
      <w:r w:rsidRPr="004349F6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de-DE"/>
        </w:rPr>
        <w:t>alle drei</w:t>
      </w:r>
      <w:r w:rsidRPr="004349F6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 (LRA, ZDF, DLF)?</w:t>
      </w:r>
    </w:p>
    <w:p w14:paraId="380A1019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Das ist kein Formalismus, sondern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inhaltlich zwingend</w:t>
      </w:r>
      <w:r w:rsidRPr="004349F6">
        <w:rPr>
          <w:rFonts w:ascii="Times New Roman" w:eastAsia="Times New Roman" w:hAnsi="Times New Roman" w:cs="Times New Roman"/>
          <w:lang w:eastAsia="de-DE"/>
        </w:rPr>
        <w:t>:</w:t>
      </w:r>
    </w:p>
    <w:p w14:paraId="751866EF" w14:textId="77777777" w:rsidR="004349F6" w:rsidRPr="004349F6" w:rsidRDefault="004349F6" w:rsidP="004349F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Der Rundfunkbeitrag finanziert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das gesamte System</w:t>
      </w:r>
      <w:r w:rsidRPr="004349F6">
        <w:rPr>
          <w:rFonts w:ascii="Times New Roman" w:eastAsia="Times New Roman" w:hAnsi="Times New Roman" w:cs="Times New Roman"/>
          <w:lang w:eastAsia="de-DE"/>
        </w:rPr>
        <w:t>, nicht nur die eigene LRA.</w:t>
      </w:r>
    </w:p>
    <w:p w14:paraId="4431CADF" w14:textId="77777777" w:rsidR="004349F6" w:rsidRPr="004349F6" w:rsidRDefault="004349F6" w:rsidP="004349F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Das BVerwG (15.10.2025 – 6 C 5.24) verlangt ausdrücklich eine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Gesamtbetrachtung des Programmauftrags</w:t>
      </w:r>
      <w:r w:rsidRPr="004349F6">
        <w:rPr>
          <w:rFonts w:ascii="Times New Roman" w:eastAsia="Times New Roman" w:hAnsi="Times New Roman" w:cs="Times New Roman"/>
          <w:lang w:eastAsia="de-DE"/>
        </w:rPr>
        <w:t>.</w:t>
      </w:r>
    </w:p>
    <w:p w14:paraId="4540A401" w14:textId="77777777" w:rsidR="004349F6" w:rsidRPr="004349F6" w:rsidRDefault="004349F6" w:rsidP="004349F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Meinungsvielfalt, Ausgewogenheit und Staatsferne lassen sich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nicht isoliert pro Anstalt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bewerten.</w:t>
      </w:r>
    </w:p>
    <w:p w14:paraId="5BE08FC8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Apple Color Emoji" w:eastAsia="Times New Roman" w:hAnsi="Apple Color Emoji" w:cs="Apple Color Emoji"/>
          <w:lang w:eastAsia="de-DE"/>
        </w:rPr>
        <w:t>👉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Wer nur die eigene LRA anschreibt, lässt dem Gericht die Hintertür:</w:t>
      </w:r>
    </w:p>
    <w:p w14:paraId="50F8C831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„Unvollständiger Sachvortrag – keine Gesamtanalyse.“</w:t>
      </w:r>
    </w:p>
    <w:p w14:paraId="7324E626" w14:textId="77777777" w:rsidR="004349F6" w:rsidRPr="004349F6" w:rsidRDefault="00920680" w:rsidP="004349F6">
      <w:pPr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noProof/>
          <w:lang w:eastAsia="de-DE"/>
        </w:rPr>
        <w:pict w14:anchorId="601375D7">
          <v:rect id="_x0000_i1029" alt="" style="width:452.7pt;height:.05pt;mso-width-percent:0;mso-height-percent:0;mso-width-percent:0;mso-height-percent:0" o:hrpct="998" o:hralign="center" o:hrstd="t" o:hr="t" fillcolor="#a0a0a0" stroked="f"/>
        </w:pict>
      </w:r>
    </w:p>
    <w:p w14:paraId="699E44A6" w14:textId="77777777" w:rsidR="004349F6" w:rsidRPr="004349F6" w:rsidRDefault="004349F6" w:rsidP="004349F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Was diese Schreiben prozessual bewirken</w:t>
      </w:r>
    </w:p>
    <w:p w14:paraId="77BC9674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Ganz nüchtern:</w:t>
      </w:r>
    </w:p>
    <w:p w14:paraId="18E4CD8A" w14:textId="77777777" w:rsidR="004349F6" w:rsidRPr="004349F6" w:rsidRDefault="004349F6" w:rsidP="004349F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Sekundäre Darlegungslast kippt zur Rundfunkanstalt</w:t>
      </w:r>
    </w:p>
    <w:p w14:paraId="1CADE21B" w14:textId="77777777" w:rsidR="004349F6" w:rsidRPr="004349F6" w:rsidRDefault="004349F6" w:rsidP="004349F6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Die Kläger müssen nicht beweisen, </w:t>
      </w:r>
      <w:r w:rsidRPr="004349F6">
        <w:rPr>
          <w:rFonts w:ascii="Times New Roman" w:eastAsia="Times New Roman" w:hAnsi="Times New Roman" w:cs="Times New Roman"/>
          <w:i/>
          <w:iCs/>
          <w:lang w:eastAsia="de-DE"/>
        </w:rPr>
        <w:t>dass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es keine Vielfalt gibt.</w:t>
      </w:r>
    </w:p>
    <w:p w14:paraId="55C7D769" w14:textId="77777777" w:rsidR="004349F6" w:rsidRPr="004349F6" w:rsidRDefault="004349F6" w:rsidP="004349F6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Die Rundfunkanstalten müssen darlegen,</w:t>
      </w:r>
      <w:r w:rsidRPr="004349F6">
        <w:rPr>
          <w:rFonts w:ascii="Times New Roman" w:eastAsia="Times New Roman" w:hAnsi="Times New Roman" w:cs="Times New Roman"/>
          <w:lang w:eastAsia="de-DE"/>
        </w:rPr>
        <w:br/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wie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sie Vielfalt messen, kontrollieren und sichern.</w:t>
      </w:r>
    </w:p>
    <w:p w14:paraId="6E9FBA6C" w14:textId="77777777" w:rsidR="004349F6" w:rsidRPr="004349F6" w:rsidRDefault="004349F6" w:rsidP="004349F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Beweisvereitelung wird thematisierbar</w:t>
      </w:r>
    </w:p>
    <w:p w14:paraId="00BFB4EE" w14:textId="77777777" w:rsidR="004349F6" w:rsidRPr="004349F6" w:rsidRDefault="004349F6" w:rsidP="004349F6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Wird nicht geantwortet → Verfahrensverzögerung durch den Beklagten</w:t>
      </w:r>
    </w:p>
    <w:p w14:paraId="558CACF5" w14:textId="77777777" w:rsidR="004349F6" w:rsidRPr="004349F6" w:rsidRDefault="004349F6" w:rsidP="004349F6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Werden Daten gelöscht → massiver Rechtsverstoß</w:t>
      </w:r>
    </w:p>
    <w:p w14:paraId="10D40A13" w14:textId="77777777" w:rsidR="004349F6" w:rsidRPr="004349F6" w:rsidRDefault="004349F6" w:rsidP="004349F6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Wird nur allgemein geantwortet → unzureichend, neue Beweisanträge möglich</w:t>
      </w:r>
    </w:p>
    <w:p w14:paraId="31933C64" w14:textId="77777777" w:rsidR="004349F6" w:rsidRPr="004349F6" w:rsidRDefault="004349F6" w:rsidP="004349F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Grundlage für Sachverständigengutachten</w:t>
      </w:r>
    </w:p>
    <w:p w14:paraId="788098B9" w14:textId="77777777" w:rsidR="004349F6" w:rsidRPr="004349F6" w:rsidRDefault="004349F6" w:rsidP="004349F6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Erst mit diesen Daten kann ein Gutachten erstellt werden,</w:t>
      </w:r>
    </w:p>
    <w:p w14:paraId="786FED96" w14:textId="77777777" w:rsidR="004349F6" w:rsidRPr="004349F6" w:rsidRDefault="004349F6" w:rsidP="004349F6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das die Schwelle zur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Amtsermittlungspflicht des Gerichts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überschreitet.</w:t>
      </w:r>
    </w:p>
    <w:p w14:paraId="78FA8169" w14:textId="77777777" w:rsidR="004349F6" w:rsidRPr="004349F6" w:rsidRDefault="00920680" w:rsidP="004349F6">
      <w:pPr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noProof/>
          <w:lang w:eastAsia="de-DE"/>
        </w:rPr>
        <w:pict w14:anchorId="569EE675">
          <v:rect id="_x0000_i1028" alt="" style="width:452.7pt;height:.05pt;mso-width-percent:0;mso-height-percent:0;mso-width-percent:0;mso-height-percent:0" o:hrpct="998" o:hralign="center" o:hrstd="t" o:hr="t" fillcolor="#a0a0a0" stroked="f"/>
        </w:pict>
      </w:r>
    </w:p>
    <w:p w14:paraId="3D4384F8" w14:textId="77777777" w:rsidR="004349F6" w:rsidRPr="004349F6" w:rsidRDefault="004349F6" w:rsidP="004349F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Wie ihr das strategisch sauber kombiniert</w:t>
      </w:r>
    </w:p>
    <w:p w14:paraId="6250E041" w14:textId="77777777" w:rsidR="004349F6" w:rsidRPr="004349F6" w:rsidRDefault="004349F6" w:rsidP="004349F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1. Schritt 1: Anschreiben an ÖRR (außergerichtlich, aber formal)</w:t>
      </w:r>
    </w:p>
    <w:p w14:paraId="53B8065D" w14:textId="77777777" w:rsidR="004349F6" w:rsidRPr="004349F6" w:rsidRDefault="004349F6" w:rsidP="004349F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lastRenderedPageBreak/>
        <w:t>Genau mit dem Muster von Dr. von Herget</w:t>
      </w:r>
    </w:p>
    <w:p w14:paraId="55D8F513" w14:textId="77777777" w:rsidR="004349F6" w:rsidRPr="004349F6" w:rsidRDefault="004349F6" w:rsidP="004349F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Einzeln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an:</w:t>
      </w:r>
    </w:p>
    <w:p w14:paraId="7F3ECB31" w14:textId="77777777" w:rsidR="004349F6" w:rsidRPr="004349F6" w:rsidRDefault="004349F6" w:rsidP="004349F6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eigene Landesrundfunkanstalt</w:t>
      </w:r>
    </w:p>
    <w:p w14:paraId="27060938" w14:textId="77777777" w:rsidR="004349F6" w:rsidRPr="004349F6" w:rsidRDefault="004349F6" w:rsidP="004349F6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ZDF</w:t>
      </w:r>
    </w:p>
    <w:p w14:paraId="2D9C6AE8" w14:textId="77777777" w:rsidR="004349F6" w:rsidRPr="004349F6" w:rsidRDefault="004349F6" w:rsidP="004349F6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Deutschlandradio</w:t>
      </w:r>
    </w:p>
    <w:p w14:paraId="64BE1DA5" w14:textId="77777777" w:rsidR="004349F6" w:rsidRPr="004349F6" w:rsidRDefault="004349F6" w:rsidP="004349F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Mit Fristsetzung</w:t>
      </w:r>
    </w:p>
    <w:p w14:paraId="6C843B33" w14:textId="77777777" w:rsidR="004349F6" w:rsidRPr="004349F6" w:rsidRDefault="004349F6" w:rsidP="004349F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Abschrift an das Gericht</w:t>
      </w:r>
    </w:p>
    <w:p w14:paraId="27E001D3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Apple Color Emoji" w:eastAsia="Times New Roman" w:hAnsi="Apple Color Emoji" w:cs="Apple Color Emoji"/>
          <w:lang w:eastAsia="de-DE"/>
        </w:rPr>
        <w:t>👉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Damit ist der Richter gezwungen, das zur Kenntnis zu nehmen.</w:t>
      </w:r>
    </w:p>
    <w:p w14:paraId="57B2BD83" w14:textId="77777777" w:rsidR="004349F6" w:rsidRPr="004349F6" w:rsidRDefault="00920680" w:rsidP="004349F6">
      <w:pPr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noProof/>
          <w:lang w:eastAsia="de-DE"/>
        </w:rPr>
        <w:pict w14:anchorId="2093E938">
          <v:rect id="_x0000_i1027" alt="" style="width:452.7pt;height:.05pt;mso-width-percent:0;mso-height-percent:0;mso-width-percent:0;mso-height-percent:0" o:hrpct="998" o:hralign="center" o:hrstd="t" o:hr="t" fillcolor="#a0a0a0" stroked="f"/>
        </w:pict>
      </w:r>
    </w:p>
    <w:p w14:paraId="7F1D3DD3" w14:textId="77777777" w:rsidR="004349F6" w:rsidRPr="004349F6" w:rsidRDefault="004349F6" w:rsidP="004349F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2. Schritt 2: Beweisantrag im Gerichtsverfahren</w:t>
      </w:r>
    </w:p>
    <w:p w14:paraId="1FD9D5CB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Parallel (oder kurz danach):</w:t>
      </w:r>
    </w:p>
    <w:p w14:paraId="02EB9641" w14:textId="77777777" w:rsidR="004349F6" w:rsidRPr="004349F6" w:rsidRDefault="004349F6" w:rsidP="004349F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Beweisantrag auf</w:t>
      </w:r>
    </w:p>
    <w:p w14:paraId="22EFF65C" w14:textId="77777777" w:rsidR="004349F6" w:rsidRPr="004349F6" w:rsidRDefault="004349F6" w:rsidP="004349F6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Ladung sachverständiger Zeugen (z. B. Mediatenor)</w:t>
      </w:r>
    </w:p>
    <w:p w14:paraId="6ACAEA7C" w14:textId="77777777" w:rsidR="004349F6" w:rsidRPr="004349F6" w:rsidRDefault="004349F6" w:rsidP="004349F6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hilfsweise: Einholung eines gerichtlichen Sachverständigengutachtens</w:t>
      </w:r>
    </w:p>
    <w:p w14:paraId="05927755" w14:textId="77777777" w:rsidR="004349F6" w:rsidRPr="004349F6" w:rsidRDefault="004349F6" w:rsidP="004349F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Bezug auf:</w:t>
      </w:r>
    </w:p>
    <w:p w14:paraId="5EF8BB17" w14:textId="77777777" w:rsidR="004349F6" w:rsidRPr="004349F6" w:rsidRDefault="004349F6" w:rsidP="004349F6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ausstehende Auskünfte</w:t>
      </w:r>
    </w:p>
    <w:p w14:paraId="072E3893" w14:textId="77777777" w:rsidR="004349F6" w:rsidRPr="004349F6" w:rsidRDefault="004349F6" w:rsidP="004349F6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gesicherte / noch zu sichernde Programmdaten</w:t>
      </w:r>
    </w:p>
    <w:p w14:paraId="133D235E" w14:textId="77777777" w:rsidR="004349F6" w:rsidRPr="004349F6" w:rsidRDefault="004349F6" w:rsidP="004349F6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BVerwG 6 C 5.24, Rn. 48, 50</w:t>
      </w:r>
    </w:p>
    <w:p w14:paraId="2B8276F6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Apple Color Emoji" w:eastAsia="Times New Roman" w:hAnsi="Apple Color Emoji" w:cs="Apple Color Emoji"/>
          <w:lang w:eastAsia="de-DE"/>
        </w:rPr>
        <w:t>👉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Ein solcher Antrag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kann nur per Beschluss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abgelehnt werden.</w:t>
      </w:r>
      <w:r w:rsidRPr="004349F6">
        <w:rPr>
          <w:rFonts w:ascii="Times New Roman" w:eastAsia="Times New Roman" w:hAnsi="Times New Roman" w:cs="Times New Roman"/>
          <w:lang w:eastAsia="de-DE"/>
        </w:rPr>
        <w:br/>
        <w:t xml:space="preserve">Und der muss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begründet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sein.</w:t>
      </w:r>
    </w:p>
    <w:p w14:paraId="471A7C7B" w14:textId="77777777" w:rsidR="004349F6" w:rsidRPr="004349F6" w:rsidRDefault="00920680" w:rsidP="004349F6">
      <w:pPr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noProof/>
          <w:lang w:eastAsia="de-DE"/>
        </w:rPr>
        <w:pict w14:anchorId="799D72C1">
          <v:rect id="_x0000_i1026" alt="" style="width:452.7pt;height:.05pt;mso-width-percent:0;mso-height-percent:0;mso-width-percent:0;mso-height-percent:0" o:hrpct="998" o:hralign="center" o:hrstd="t" o:hr="t" fillcolor="#a0a0a0" stroked="f"/>
        </w:pict>
      </w:r>
    </w:p>
    <w:p w14:paraId="5E264E9A" w14:textId="77777777" w:rsidR="004349F6" w:rsidRPr="004349F6" w:rsidRDefault="004349F6" w:rsidP="004349F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Warum das genau der richtige Kurs ist (auch politisch)</w:t>
      </w:r>
    </w:p>
    <w:p w14:paraId="7EA25491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Ihr tut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nicht</w:t>
      </w:r>
      <w:r w:rsidRPr="004349F6">
        <w:rPr>
          <w:rFonts w:ascii="Times New Roman" w:eastAsia="Times New Roman" w:hAnsi="Times New Roman" w:cs="Times New Roman"/>
          <w:lang w:eastAsia="de-DE"/>
        </w:rPr>
        <w:t>:</w:t>
      </w:r>
    </w:p>
    <w:p w14:paraId="34932AB9" w14:textId="77777777" w:rsidR="004349F6" w:rsidRPr="004349F6" w:rsidRDefault="004349F6" w:rsidP="004349F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Gesetze ignorieren</w:t>
      </w:r>
    </w:p>
    <w:p w14:paraId="0CDAD234" w14:textId="77777777" w:rsidR="004349F6" w:rsidRPr="004349F6" w:rsidRDefault="004349F6" w:rsidP="004349F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Zahlungen „einfach verweigern“</w:t>
      </w:r>
    </w:p>
    <w:p w14:paraId="41BEC3F2" w14:textId="77777777" w:rsidR="004349F6" w:rsidRPr="004349F6" w:rsidRDefault="004349F6" w:rsidP="004349F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Richter angreifen</w:t>
      </w:r>
    </w:p>
    <w:p w14:paraId="4E6FF773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Ihr tut:</w:t>
      </w:r>
    </w:p>
    <w:p w14:paraId="3874DD21" w14:textId="77777777" w:rsidR="004349F6" w:rsidRPr="004349F6" w:rsidRDefault="004349F6" w:rsidP="004349F6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das, was der Rechtsstaat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selbst verlangt</w:t>
      </w:r>
      <w:r w:rsidRPr="004349F6">
        <w:rPr>
          <w:rFonts w:ascii="Times New Roman" w:eastAsia="Times New Roman" w:hAnsi="Times New Roman" w:cs="Times New Roman"/>
          <w:lang w:eastAsia="de-DE"/>
        </w:rPr>
        <w:t>:</w:t>
      </w:r>
    </w:p>
    <w:p w14:paraId="76541978" w14:textId="77777777" w:rsidR="004349F6" w:rsidRPr="004349F6" w:rsidRDefault="004349F6" w:rsidP="004349F6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Aufklärung,</w:t>
      </w:r>
    </w:p>
    <w:p w14:paraId="136212AC" w14:textId="77777777" w:rsidR="004349F6" w:rsidRPr="004349F6" w:rsidRDefault="004349F6" w:rsidP="004349F6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Nachvollziehbarkeit,</w:t>
      </w:r>
    </w:p>
    <w:p w14:paraId="3473108D" w14:textId="77777777" w:rsidR="004349F6" w:rsidRPr="004349F6" w:rsidRDefault="004349F6" w:rsidP="004349F6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Beweisführung.</w:t>
      </w:r>
    </w:p>
    <w:p w14:paraId="3D4EB050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Wenn das System daran scheitert,</w:t>
      </w:r>
      <w:r w:rsidRPr="004349F6">
        <w:rPr>
          <w:rFonts w:ascii="Times New Roman" w:eastAsia="Times New Roman" w:hAnsi="Times New Roman" w:cs="Times New Roman"/>
          <w:lang w:eastAsia="de-DE"/>
        </w:rPr>
        <w:br/>
        <w:t xml:space="preserve">scheitert es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nicht an euch</w:t>
      </w:r>
      <w:r w:rsidRPr="004349F6">
        <w:rPr>
          <w:rFonts w:ascii="Times New Roman" w:eastAsia="Times New Roman" w:hAnsi="Times New Roman" w:cs="Times New Roman"/>
          <w:lang w:eastAsia="de-DE"/>
        </w:rPr>
        <w:t>, sondern an seiner eigenen Konstruktion.</w:t>
      </w:r>
    </w:p>
    <w:p w14:paraId="0ECEC4A8" w14:textId="77777777" w:rsidR="004349F6" w:rsidRPr="004349F6" w:rsidRDefault="00920680" w:rsidP="004349F6">
      <w:pPr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noProof/>
          <w:lang w:eastAsia="de-DE"/>
        </w:rPr>
        <w:pict w14:anchorId="181ABB06">
          <v:rect id="_x0000_i1025" alt="" style="width:452.7pt;height:.05pt;mso-width-percent:0;mso-height-percent:0;mso-width-percent:0;mso-height-percent:0" o:hrpct="998" o:hralign="center" o:hrstd="t" o:hr="t" fillcolor="#a0a0a0" stroked="f"/>
        </w:pict>
      </w:r>
    </w:p>
    <w:p w14:paraId="2D5B2179" w14:textId="77777777" w:rsidR="004349F6" w:rsidRPr="004349F6" w:rsidRDefault="004349F6" w:rsidP="004349F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Kurz gesagt – für euch intern</w:t>
      </w:r>
    </w:p>
    <w:p w14:paraId="1C1FDA87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lastRenderedPageBreak/>
        <w:t>Der Beitragsstopper wird jetzt von einer reinen Abwehrstrategie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br/>
        <w:t>zu einer Aufklärungs- und Beweisstrategie.</w:t>
      </w:r>
    </w:p>
    <w:p w14:paraId="0D0F3008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Das ist:</w:t>
      </w:r>
    </w:p>
    <w:p w14:paraId="1AB26538" w14:textId="77777777" w:rsidR="004349F6" w:rsidRPr="004349F6" w:rsidRDefault="004349F6" w:rsidP="004349F6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juristisch sauber,</w:t>
      </w:r>
    </w:p>
    <w:p w14:paraId="48E1E5AB" w14:textId="77777777" w:rsidR="004349F6" w:rsidRPr="004349F6" w:rsidRDefault="004349F6" w:rsidP="004349F6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prozessual klug,</w:t>
      </w:r>
    </w:p>
    <w:p w14:paraId="1D34A02C" w14:textId="77777777" w:rsidR="004349F6" w:rsidRPr="004349F6" w:rsidRDefault="004349F6" w:rsidP="004349F6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und genau das, was die Gerichte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nicht mehr einfach abbügeln können</w:t>
      </w:r>
      <w:r w:rsidRPr="004349F6">
        <w:rPr>
          <w:rFonts w:ascii="Times New Roman" w:eastAsia="Times New Roman" w:hAnsi="Times New Roman" w:cs="Times New Roman"/>
          <w:lang w:eastAsia="de-DE"/>
        </w:rPr>
        <w:t>.</w:t>
      </w:r>
    </w:p>
    <w:p w14:paraId="06F183AA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Wenn du willst, mache ich dir als Nächstes:</w:t>
      </w:r>
    </w:p>
    <w:p w14:paraId="7A54D5C3" w14:textId="77777777" w:rsidR="004349F6" w:rsidRPr="004349F6" w:rsidRDefault="004349F6" w:rsidP="004349F6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eine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einheitliche Handlungsanweisung für alle Kläger</w:t>
      </w:r>
      <w:r w:rsidRPr="004349F6">
        <w:rPr>
          <w:rFonts w:ascii="Times New Roman" w:eastAsia="Times New Roman" w:hAnsi="Times New Roman" w:cs="Times New Roman"/>
          <w:lang w:eastAsia="de-DE"/>
        </w:rPr>
        <w:t xml:space="preserve"> (1 Seite),</w:t>
      </w:r>
    </w:p>
    <w:p w14:paraId="2399A535" w14:textId="77777777" w:rsidR="004349F6" w:rsidRPr="004349F6" w:rsidRDefault="004349F6" w:rsidP="004349F6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oder eine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saubere Musterbegründung</w:t>
      </w:r>
      <w:r w:rsidRPr="004349F6">
        <w:rPr>
          <w:rFonts w:ascii="Times New Roman" w:eastAsia="Times New Roman" w:hAnsi="Times New Roman" w:cs="Times New Roman"/>
          <w:lang w:eastAsia="de-DE"/>
        </w:rPr>
        <w:t>, warum diese Auskunftsanträge zwingend sind,</w:t>
      </w:r>
    </w:p>
    <w:p w14:paraId="5863B666" w14:textId="77777777" w:rsidR="004349F6" w:rsidRPr="004349F6" w:rsidRDefault="004349F6" w:rsidP="004349F6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 xml:space="preserve">oder eine </w:t>
      </w:r>
      <w:r w:rsidRPr="004349F6">
        <w:rPr>
          <w:rFonts w:ascii="Times New Roman" w:eastAsia="Times New Roman" w:hAnsi="Times New Roman" w:cs="Times New Roman"/>
          <w:b/>
          <w:bCs/>
          <w:lang w:eastAsia="de-DE"/>
        </w:rPr>
        <w:t>gerichtsfeste Beweisantrags-Vorlage</w:t>
      </w:r>
      <w:r w:rsidRPr="004349F6">
        <w:rPr>
          <w:rFonts w:ascii="Times New Roman" w:eastAsia="Times New Roman" w:hAnsi="Times New Roman" w:cs="Times New Roman"/>
          <w:lang w:eastAsia="de-DE"/>
        </w:rPr>
        <w:t>, die jeder nutzen kann.</w:t>
      </w:r>
    </w:p>
    <w:p w14:paraId="04594039" w14:textId="77777777" w:rsidR="004349F6" w:rsidRPr="004349F6" w:rsidRDefault="004349F6" w:rsidP="004349F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4349F6">
        <w:rPr>
          <w:rFonts w:ascii="Times New Roman" w:eastAsia="Times New Roman" w:hAnsi="Times New Roman" w:cs="Times New Roman"/>
          <w:lang w:eastAsia="de-DE"/>
        </w:rPr>
        <w:t>Sag mir, was ihr zuerst braucht.</w:t>
      </w:r>
    </w:p>
    <w:p w14:paraId="732CDD8E" w14:textId="77777777" w:rsidR="00C9691E" w:rsidRDefault="00C9691E"/>
    <w:sectPr w:rsidR="00C9691E" w:rsidSect="000A4B2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210B"/>
    <w:multiLevelType w:val="multilevel"/>
    <w:tmpl w:val="97D2B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13C5D"/>
    <w:multiLevelType w:val="multilevel"/>
    <w:tmpl w:val="EB72F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3459D"/>
    <w:multiLevelType w:val="multilevel"/>
    <w:tmpl w:val="D602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6F7511"/>
    <w:multiLevelType w:val="multilevel"/>
    <w:tmpl w:val="98323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FB5887"/>
    <w:multiLevelType w:val="multilevel"/>
    <w:tmpl w:val="030AE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F568CF"/>
    <w:multiLevelType w:val="multilevel"/>
    <w:tmpl w:val="3800E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6C1316"/>
    <w:multiLevelType w:val="multilevel"/>
    <w:tmpl w:val="C9CA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43A17"/>
    <w:multiLevelType w:val="multilevel"/>
    <w:tmpl w:val="A434F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4D0FE9"/>
    <w:multiLevelType w:val="multilevel"/>
    <w:tmpl w:val="04D6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1C1ACD"/>
    <w:multiLevelType w:val="multilevel"/>
    <w:tmpl w:val="AA52A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0B0BE4"/>
    <w:multiLevelType w:val="multilevel"/>
    <w:tmpl w:val="AB90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9480305">
    <w:abstractNumId w:val="4"/>
  </w:num>
  <w:num w:numId="2" w16cid:durableId="2018538424">
    <w:abstractNumId w:val="10"/>
  </w:num>
  <w:num w:numId="3" w16cid:durableId="1315334939">
    <w:abstractNumId w:val="3"/>
  </w:num>
  <w:num w:numId="4" w16cid:durableId="733354113">
    <w:abstractNumId w:val="5"/>
  </w:num>
  <w:num w:numId="5" w16cid:durableId="581380386">
    <w:abstractNumId w:val="7"/>
  </w:num>
  <w:num w:numId="6" w16cid:durableId="390465347">
    <w:abstractNumId w:val="8"/>
  </w:num>
  <w:num w:numId="7" w16cid:durableId="21830341">
    <w:abstractNumId w:val="6"/>
  </w:num>
  <w:num w:numId="8" w16cid:durableId="202133549">
    <w:abstractNumId w:val="1"/>
  </w:num>
  <w:num w:numId="9" w16cid:durableId="259726894">
    <w:abstractNumId w:val="0"/>
  </w:num>
  <w:num w:numId="10" w16cid:durableId="1752652648">
    <w:abstractNumId w:val="9"/>
  </w:num>
  <w:num w:numId="11" w16cid:durableId="385766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9F6"/>
    <w:rsid w:val="000A4B2E"/>
    <w:rsid w:val="000C3A93"/>
    <w:rsid w:val="00384872"/>
    <w:rsid w:val="004349F6"/>
    <w:rsid w:val="004B6A18"/>
    <w:rsid w:val="00591FA0"/>
    <w:rsid w:val="00736E74"/>
    <w:rsid w:val="00920680"/>
    <w:rsid w:val="00A026D7"/>
    <w:rsid w:val="00C3792C"/>
    <w:rsid w:val="00C9691E"/>
    <w:rsid w:val="00E0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5AEA2"/>
  <w15:chartTrackingRefBased/>
  <w15:docId w15:val="{EF756E9C-7DDE-9942-8799-FA2A3DABA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4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34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349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349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349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349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349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349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349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349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349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349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349F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349F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349F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349F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349F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349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349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4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349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34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349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349F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349F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349F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349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349F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349F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4349F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Fett">
    <w:name w:val="Strong"/>
    <w:basedOn w:val="Absatz-Standardschriftart"/>
    <w:uiPriority w:val="22"/>
    <w:qFormat/>
    <w:rsid w:val="004349F6"/>
    <w:rPr>
      <w:b/>
      <w:bCs/>
    </w:rPr>
  </w:style>
  <w:style w:type="character" w:styleId="Hervorhebung">
    <w:name w:val="Emphasis"/>
    <w:basedOn w:val="Absatz-Standardschriftart"/>
    <w:uiPriority w:val="20"/>
    <w:qFormat/>
    <w:rsid w:val="004349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Bönig</dc:creator>
  <cp:keywords/>
  <dc:description/>
  <cp:lastModifiedBy>Markus Bönig</cp:lastModifiedBy>
  <cp:revision>3</cp:revision>
  <dcterms:created xsi:type="dcterms:W3CDTF">2026-01-13T16:41:00Z</dcterms:created>
  <dcterms:modified xsi:type="dcterms:W3CDTF">2026-01-13T16:45:00Z</dcterms:modified>
</cp:coreProperties>
</file>