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Anträge und Unterschrift</w:t>
      </w:r>
    </w:p>
    <w:p>
      <w:pPr>
        <w:pStyle w:val="Heading1"/>
      </w:pPr>
      <w:r>
        <w:t>Bescheidbezogene Beitragsklage</w:t>
      </w:r>
    </w:p>
    <w:p>
      <w:pPr>
        <w:jc w:val="both"/>
      </w:pPr>
      <w:r>
        <w:t xml:space="preserve">An das Verwaltungsgericht </w:t>
      </w:r>
      <w:r>
        <w:rPr>
          <w:i/>
          <w:color w:val="555555"/>
        </w:rPr>
        <w:t>{Gericht und Anschrift}</w:t>
      </w:r>
    </w:p>
    <w:p>
      <w:pPr>
        <w:jc w:val="both"/>
      </w:pPr>
      <w:r>
        <w:t xml:space="preserve">In der Sache </w:t>
      </w:r>
      <w:r>
        <w:rPr>
          <w:i/>
          <w:color w:val="555555"/>
        </w:rPr>
        <w:t>{Name, Anschrift}</w:t>
      </w:r>
      <w:r>
        <w:t xml:space="preserve"> gegen </w:t>
      </w:r>
      <w:r>
        <w:rPr>
          <w:i/>
          <w:color w:val="555555"/>
        </w:rPr>
        <w:t>{Landesrundfunkanstalt mit Vertretung und Anschrift}</w:t>
      </w:r>
    </w:p>
    <w:p>
      <w:pPr>
        <w:jc w:val="both"/>
      </w:pPr>
      <w:r>
        <w:t xml:space="preserve">Aktenzeichen: </w:t>
      </w:r>
      <w:r>
        <w:rPr>
          <w:i/>
          <w:color w:val="555555"/>
        </w:rPr>
        <w:t>{falls bereits vergeben}</w:t>
      </w:r>
    </w:p>
    <w:p>
      <w:pPr>
        <w:pStyle w:val="Heading2"/>
      </w:pPr>
      <w:r>
        <w:t>Sachanträge</w:t>
      </w:r>
    </w:p>
    <w:p>
      <w:pPr>
        <w:jc w:val="both"/>
      </w:pPr>
      <w:r>
        <w:t xml:space="preserve">1. Der Festsetzungsbescheid der Beklagten vom </w:t>
      </w:r>
      <w:r>
        <w:rPr>
          <w:i/>
          <w:color w:val="555555"/>
        </w:rPr>
        <w:t>{Datum}</w:t>
      </w:r>
      <w:r>
        <w:t xml:space="preserve"> über </w:t>
      </w:r>
      <w:r>
        <w:rPr>
          <w:i/>
          <w:color w:val="555555"/>
        </w:rPr>
        <w:t>{Betrag und Abrechnungszeitraum}</w:t>
      </w:r>
      <w:r>
        <w:t xml:space="preserve"> in Gestalt des Widerspruchsbescheids vom </w:t>
      </w:r>
      <w:r>
        <w:rPr>
          <w:i/>
          <w:color w:val="555555"/>
        </w:rPr>
        <w:t>{Datum}</w:t>
      </w:r>
      <w:r>
        <w:t xml:space="preserve"> wird aufgehoben. </w:t>
      </w:r>
      <w:r>
        <w:rPr>
          <w:i/>
          <w:color w:val="555555"/>
        </w:rPr>
        <w:t>{Weitere angefochtene Bescheide nur nach Einzelprüfung jeweils genau bezeichnen.}</w:t>
      </w:r>
    </w:p>
    <w:p>
      <w:pPr>
        <w:jc w:val="both"/>
      </w:pPr>
      <w:r>
        <w:t>2. Die Beklagte trägt die Kosten des Verfahrens.</w:t>
      </w:r>
    </w:p>
    <w:p>
      <w:pPr>
        <w:jc w:val="both"/>
      </w:pPr>
      <w:r>
        <w:t>Antrag 1 ist der alleinige Sachantrag. Die wissenschaftlichen Darlegungen und Aufklärungsanregungen begründen dieses Begehren. Eine Vorlage nach Art. 100 Abs. 1 GG wird bei Vorliegen ihrer Voraussetzungen als gerichtlicher Verfahrensschritt angeregt.</w:t>
      </w:r>
    </w:p>
    <w:p>
      <w:pPr>
        <w:pStyle w:val="Heading2"/>
      </w:pPr>
      <w:r>
        <w:t>Bestandteile dieser Eingabe</w:t>
      </w:r>
    </w:p>
    <w:p>
      <w:pPr>
        <w:jc w:val="both"/>
      </w:pPr>
      <w:r>
        <w:t>Die folgenden vervollständigten Abschnitte sind Bestandteil dieser Eingabe. Der tatsächliche Versandbestand ist maßgeblich; er wird von der Unterschrift umfasst.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3288"/>
      </w:tblGrid>
      <w:tr>
        <w:trPr>
          <w:cantSplit/>
          <w:tblHeader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  <w:shd w:fill="EDEDED"/>
          </w:tcPr>
          <w:p>
            <w:pPr>
              <w:keepNext w:val="0"/>
              <w:spacing w:after="0" w:line="250" w:lineRule="auto"/>
            </w:pPr>
            <w:r>
              <w:rPr>
                <w:b/>
                <w:sz w:val="21"/>
              </w:rPr>
              <w:t>Bestandteil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  <w:shd w:fill="EDEDED"/>
          </w:tcPr>
          <w:p>
            <w:pPr>
              <w:keepNext w:val="0"/>
              <w:spacing w:after="0" w:line="250" w:lineRule="auto"/>
            </w:pPr>
            <w:r>
              <w:rPr>
                <w:b/>
                <w:sz w:val="21"/>
              </w:rPr>
              <w:t>Stand / tatsächlicher Seitenumfang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Deckblatt und Inhaltsverzeichnis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  <w:jc w:val="center"/>
            </w:pPr>
            <w:r>
              <w:rPr>
                <w:b w:val="0"/>
                <w:i/>
                <w:color w:val="555555"/>
                <w:sz w:val="21"/>
              </w:rPr>
              <w:t>{Stand und Seiten}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Abschnitt 1 - Individueller Bescheidstreit und rechtlicher Prüfungsmaßstab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  <w:jc w:val="center"/>
            </w:pPr>
            <w:r>
              <w:rPr>
                <w:b w:val="0"/>
                <w:i/>
                <w:color w:val="555555"/>
                <w:sz w:val="21"/>
              </w:rPr>
              <w:t>{Stand und Seiten}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Abschnitt 2 - Programmbezogene Erkenntnisse und wissenschaftliche Einordnung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  <w:jc w:val="center"/>
            </w:pPr>
            <w:r>
              <w:rPr>
                <w:b w:val="0"/>
                <w:i/>
                <w:color w:val="555555"/>
                <w:sz w:val="21"/>
              </w:rPr>
              <w:t>{Stand und Seiten}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Abschnitt 3 - Programmbeschwerden, Gremienkontrolle und institutionelle Rückkopplung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  <w:jc w:val="center"/>
            </w:pPr>
            <w:r>
              <w:rPr>
                <w:b w:val="0"/>
                <w:i/>
                <w:color w:val="555555"/>
                <w:sz w:val="21"/>
              </w:rPr>
              <w:t>{Stand und Seiten}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Abschnitt 4 - Erkenntniszugang, gerichtliche Aufklärung und konkrete Beweisführung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  <w:jc w:val="center"/>
            </w:pPr>
            <w:r>
              <w:rPr>
                <w:b w:val="0"/>
                <w:i/>
                <w:color w:val="555555"/>
                <w:sz w:val="21"/>
              </w:rPr>
              <w:t>{Stand und Seiten}</w:t>
            </w:r>
          </w:p>
        </w:tc>
      </w:tr>
      <w:tr>
        <w:trPr>
          <w:cantSplit/>
        </w:trPr>
        <w:tc>
          <w:tcPr>
            <w:tcW w:type="dxa" w:w="595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sz w:val="21"/>
              </w:rPr>
              <w:t>Fallbezogene Belege K / E / D nach ausgefülltem Anlagenverzeichnis</w:t>
            </w:r>
          </w:p>
        </w:tc>
        <w:tc>
          <w:tcPr>
            <w:tcW w:type="dxa" w:w="328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bottom w:val="single" w:sz="3" w:color="CCCCCC"/>
            </w:tcBorders>
          </w:tcPr>
          <w:p>
            <w:pPr>
              <w:keepNext w:val="0"/>
              <w:spacing w:after="0" w:line="250" w:lineRule="auto"/>
            </w:pPr>
            <w:r>
              <w:rPr>
                <w:b w:val="0"/>
                <w:i/>
                <w:color w:val="555555"/>
                <w:sz w:val="21"/>
              </w:rPr>
              <w:t>{konkret beigefügte Unterlagen}</w:t>
            </w:r>
          </w:p>
        </w:tc>
      </w:tr>
    </w:tbl>
    <w:p>
      <w:pPr>
        <w:spacing w:after="20" w:line="96" w:lineRule="auto"/>
      </w:pPr>
      <w:r>
        <w:rPr>
          <w:sz w:val="4"/>
        </w:rPr>
      </w:r>
    </w:p>
    <w:p>
      <w:pPr>
        <w:keepNext/>
        <w:jc w:val="both"/>
      </w:pPr>
      <w:r>
        <w:rPr>
          <w:i/>
          <w:color w:val="555555"/>
        </w:rPr>
        <w:t>{Ort}</w:t>
      </w:r>
      <w:r>
        <w:t xml:space="preserve">, den </w:t>
      </w:r>
      <w:r>
        <w:rPr>
          <w:i/>
          <w:color w:val="555555"/>
        </w:rPr>
        <w:t>{Datum}</w:t>
      </w:r>
    </w:p>
    <w:p>
      <w:pPr>
        <w:keepNext/>
        <w:jc w:val="both"/>
      </w:pPr>
      <w:r>
        <w:t>________________________________________</w:t>
      </w:r>
    </w:p>
    <w:p>
      <w:pPr>
        <w:keepNext/>
        <w:jc w:val="both"/>
      </w:pPr>
      <w:r>
        <w:rPr>
          <w:i/>
          <w:color w:val="555555"/>
        </w:rPr>
        <w:t>{Vor- und Nachname; eigenhändige Unterschrift bei Papiereinreichung}</w:t>
      </w:r>
    </w:p>
    <w:p>
      <w:pPr>
        <w:jc w:val="both"/>
      </w:pPr>
      <w:r>
        <w:rPr>
          <w:i/>
          <w:color w:val="555555"/>
        </w:rPr>
        <w:t>{Bei anwaltlicher Einreichung: verantwortliche bevollmächtigte Person und vorgeschriebener elektronischer Übermittlungsweg}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Beitragsklage | Anträge und Unterschrift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Beitragsklage | Anträge und Unterschrift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