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Abschnitt 1</w:t>
      </w:r>
    </w:p>
    <w:p>
      <w:pPr>
        <w:pStyle w:val="Heading1"/>
      </w:pPr>
      <w:r>
        <w:t>Individueller Bescheidstreit und rechtlicher Prüfungsmaßstab</w:t>
      </w:r>
    </w:p>
    <w:p>
      <w:pPr>
        <w:jc w:val="both"/>
      </w:pPr>
      <w:r>
        <w:t>Die Klägerseite wendet sich gegen die im Antragsblatt abschließend bezeichneten Festsetzungsbescheide. Sie macht einen auf das Gesamtprogramm bezogenen Einwand gegen die verfassungsrechtliche Rechtfertigung der Beitragspflicht geltend. Dieser Einwand wird in den Abschnitten 2 bis 4 durch eine geordnete Darstellung vorhandener Untersuchungen, der dokumentierten Beschwerdepraxis und der konkret erforderlichen Sachaufklärung begründet. Es wird weder ein bestimmtes Programm verlangt noch die Entscheidung über die Verfassungsmäßigkeit einer gesetzlichen Regelung einem privaten Gutachter überlassen.</w:t>
      </w:r>
    </w:p>
    <w:p>
      <w:bookmarkStart w:id="47" w:name="s1_1"/>
      <w:pPr>
        <w:pStyle w:val="Heading2"/>
      </w:pPr>
      <w:r>
        <w:t>1.1 Gegenstand, Beteiligte und angefochtene Entscheidungen</w:t>
      </w:r>
      <w:bookmarkEnd w:id="47"/>
    </w:p>
    <w:p>
      <w:pPr>
        <w:jc w:val="both"/>
      </w:pPr>
      <w:r>
        <w:t xml:space="preserve">Die Beklagte hat gegenüber der Klägerseite unter der Beitragsnummer </w:t>
      </w:r>
      <w:r>
        <w:rPr>
          <w:i/>
          <w:color w:val="555555"/>
        </w:rPr>
        <w:t>{Beitragsnummer}</w:t>
      </w:r>
      <w:r>
        <w:t xml:space="preserve"> mit Bescheid vom </w:t>
      </w:r>
      <w:r>
        <w:rPr>
          <w:i/>
          <w:color w:val="555555"/>
        </w:rPr>
        <w:t>{Datum}</w:t>
      </w:r>
      <w:r>
        <w:t xml:space="preserve"> Rundfunkbeiträge für </w:t>
      </w:r>
      <w:r>
        <w:rPr>
          <w:i/>
          <w:color w:val="555555"/>
        </w:rPr>
        <w:t>{Beginn bis Ende}</w:t>
      </w:r>
      <w:r>
        <w:t xml:space="preserve"> in Höhe von </w:t>
      </w:r>
      <w:r>
        <w:rPr>
          <w:i/>
          <w:color w:val="555555"/>
        </w:rPr>
        <w:t>{Betrag}</w:t>
      </w:r>
      <w:r>
        <w:t xml:space="preserve"> sowie </w:t>
      </w:r>
      <w:r>
        <w:rPr>
          <w:i/>
          <w:color w:val="555555"/>
        </w:rPr>
        <w:t>{gesondert bezeichnete Zuschläge}</w:t>
      </w:r>
      <w:r>
        <w:t xml:space="preserve"> festgesetzt. Der Bescheid ging am </w:t>
      </w:r>
      <w:r>
        <w:rPr>
          <w:i/>
          <w:color w:val="555555"/>
        </w:rPr>
        <w:t>{Datum; Beleg K01}</w:t>
      </w:r>
      <w:r>
        <w:t xml:space="preserve"> zu. Die Klägerseite erhob am </w:t>
      </w:r>
      <w:r>
        <w:rPr>
          <w:i/>
          <w:color w:val="555555"/>
        </w:rPr>
        <w:t>{Datum}</w:t>
      </w:r>
      <w:r>
        <w:t xml:space="preserve"> Widerspruch; Eingang und Inhalt ergeben sich aus K02. Der Widerspruchsbescheid vom </w:t>
      </w:r>
      <w:r>
        <w:rPr>
          <w:i/>
          <w:color w:val="555555"/>
        </w:rPr>
        <w:t>{Datum}</w:t>
      </w:r>
      <w:r>
        <w:t xml:space="preserve"> wurde am </w:t>
      </w:r>
      <w:r>
        <w:rPr>
          <w:i/>
          <w:color w:val="555555"/>
        </w:rPr>
        <w:t>{Datum; Beleg K03}</w:t>
      </w:r>
      <w:r>
        <w:t xml:space="preserve"> zugestellt. Die Klage ging am </w:t>
      </w:r>
      <w:r>
        <w:rPr>
          <w:i/>
          <w:color w:val="555555"/>
        </w:rPr>
        <w:t>{Datum; K04}</w:t>
      </w:r>
      <w:r>
        <w:t xml:space="preserve"> bei Gericht ein beziehungsweise wird mit dieser Eingabe erhoben.</w:t>
      </w:r>
    </w:p>
    <w:p>
      <w:pPr>
        <w:jc w:val="both"/>
      </w:pPr>
      <w:r>
        <w:t>Weitere Bescheide sind nur insoweit Gegenstand des Verfahrens, wie sie im Antragsblatt einzeln aufgeführt sind. Beiträge anderer Personen, nicht bezeichnete Abrechnungsperioden oder die Finanzierung des Rundfunks als Ganzes werden nicht als zusätzliche selbstständige Streitgegenstände behandelt. Die gemeinsame redaktionelle Grundlage dieses Schriftsatzes ändert nichts daran, dass die Klägerseite ausschließlich ihre eigene Rechtsposition verfolgt.</w:t>
      </w:r>
    </w:p>
    <w:p>
      <w:pPr>
        <w:jc w:val="both"/>
      </w:pPr>
      <w:r>
        <w:t xml:space="preserve">Die persönliche beitragsrechtliche Ausgangslage lautet: </w:t>
      </w:r>
      <w:r>
        <w:rPr>
          <w:i/>
          <w:color w:val="555555"/>
        </w:rPr>
        <w:t>{Wohnungsinhaberschaft und sonstige entscheidungserhebliche Anknüpfungstatsachen; gegebenenfalls konkret streitige Zahlungs- oder Zuordnungsfrage}</w:t>
      </w:r>
      <w:r>
        <w:t xml:space="preserve">. Diese Angaben werden durch </w:t>
      </w:r>
      <w:r>
        <w:rPr>
          <w:i/>
          <w:color w:val="555555"/>
        </w:rPr>
        <w:t>{Belege}</w:t>
      </w:r>
      <w:r>
        <w:t xml:space="preserve"> nachgewiesen. Ein allgemeiner Vortrag über Programmvielfalt ersetzt weder die Darlegung der individuellen Belastung noch die Prüfung der Bescheide und des Vorverfahrens.</w:t>
      </w:r>
    </w:p>
    <w:p>
      <w:bookmarkStart w:id="48" w:name="s1_2"/>
      <w:pPr>
        <w:pStyle w:val="Heading2"/>
      </w:pPr>
      <w:r>
        <w:t>1.2 Statthafte Klage und bestimmter Antrag</w:t>
      </w:r>
      <w:bookmarkEnd w:id="48"/>
    </w:p>
    <w:p>
      <w:pPr>
        <w:jc w:val="both"/>
      </w:pPr>
      <w:r>
        <w:t>Das Rechtsschutzziel ist die Aufhebung der bezeichneten belastenden Verwaltungsakte nach Massgabe von § 42 Abs. 1 Alternative 1 und § 113 Abs. 1 Satz 1 VwGO. Ein daneben stehender Antrag, allgemein die Verfassungswidrigkeit des Rundfunkbeitrags oder die Unzulässigkeit sämtlicher künftiger Forderungen festzustellen, wird nicht erhoben. Die Ausführungen zur Programmqualität begründen das Anfechtungsbegehren; sie sind keine weiteren Sachanträge. [R2]</w:t>
      </w:r>
    </w:p>
    <w:p>
      <w:pPr>
        <w:jc w:val="both"/>
      </w:pPr>
      <w:r>
        <w:t xml:space="preserve">Die örtliche Zuständigkeit wird für diesen konkreten Bescheidstreit wie folgt begründet: </w:t>
      </w:r>
      <w:r>
        <w:rPr>
          <w:i/>
          <w:color w:val="555555"/>
        </w:rPr>
        <w:t>{zutreffende Fallgruppe aus § 52 VwGO, Sitz beziehungsweise Wohnsitz und Zustell-/Erlasskonstellation}</w:t>
      </w:r>
      <w:r>
        <w:t xml:space="preserve">. Die Beklagte ist </w:t>
      </w:r>
      <w:r>
        <w:rPr>
          <w:i/>
          <w:color w:val="555555"/>
        </w:rPr>
        <w:t>{genaue rechtsfähige Landesrundfunkanstalt mit Vertretung und Anschrift}</w:t>
      </w:r>
      <w:r>
        <w:t>. Der Beitragsservice wird nicht allein wegen seiner Mitwirkung an der Abwicklung als eigener beklagter Rechtsträger behandelt. [R2, § 52; R9]</w:t>
      </w:r>
    </w:p>
    <w:p>
      <w:pPr>
        <w:jc w:val="both"/>
      </w:pPr>
      <w:r>
        <w:t xml:space="preserve">Die Fristprüfung beruht auf den tatsächlichen Zugangs- und Einreichungsbelegen. </w:t>
      </w:r>
      <w:r>
        <w:rPr>
          <w:i/>
          <w:color w:val="555555"/>
        </w:rPr>
        <w:t>{Darstellung zur Einhaltung der einschlägigen Klagefrist; etwaige Besonderheiten vollständig und beleggestützt ergänzen}</w:t>
      </w:r>
      <w:r>
        <w:t>. In einem bereits anhängigen Verfahren bezeichnet die Klägerseite mit dieser Neufassung keinen neuen Prozess, sondern ergänzt ihre Begründung. Eine Rücknahme früher tatsächlich gestellter Anträge wird nicht stillschweigend erklärt; deren Umfang ist anhand des Originalschriftsatzes nach § 88 VwGO zu klären. [R2, §§ 74, 81, 82, 88]</w:t>
      </w:r>
    </w:p>
    <w:p>
      <w:bookmarkStart w:id="49" w:name="s1_3"/>
      <w:pPr>
        <w:pStyle w:val="Heading2"/>
      </w:pPr>
      <w:r>
        <w:t>1.3 Untersuchungszeitraum und historische Normfassung</w:t>
      </w:r>
      <w:bookmarkEnd w:id="49"/>
    </w:p>
    <w:p>
      <w:pPr>
        <w:jc w:val="both"/>
      </w:pPr>
      <w:r>
        <w:t xml:space="preserve">Für jeden angegriffenen Abrechnungszeitraum wird das zugeordnete Untersuchungsfenster einzeln benannt. Nach BVerwG 6 C 5.24, Rn. 41, endet die mindestens zweijährige Betrachtung mit dem im Bescheid abgerechneten Zeitraum. Das Datum des Bescheiderlasses und das Datum des Widerspruchsbescheids sind hiervon zu unterscheiden. Maßgeblich ist hier: </w:t>
      </w:r>
      <w:r>
        <w:rPr>
          <w:i/>
          <w:color w:val="555555"/>
        </w:rPr>
        <w:t>{abgerechneter Zeitraum}</w:t>
      </w:r>
      <w:r>
        <w:t xml:space="preserve">; Untersuchungsfenster: </w:t>
      </w:r>
      <w:r>
        <w:rPr>
          <w:i/>
          <w:color w:val="555555"/>
        </w:rPr>
        <w:t>{Beginn bis Ende; Begründung}</w:t>
      </w:r>
      <w:r>
        <w:t>. [R1]</w:t>
      </w:r>
    </w:p>
    <w:p>
      <w:pPr>
        <w:jc w:val="both"/>
      </w:pPr>
      <w:r>
        <w:t>Rechenbeispiel, nicht behaupteter Sachverhalt dieser Klage: Werden Beiträge für Januar bis März 2024 abgerechnet, reicht ein genau zweijähriges Fenster von April 2022 bis März 2024. Ein erst im Herbst 2025 erlassener Bescheid verlagert diesen Zeitraum nicht. Werden mehrere Jahre abgerechnet, ist zusätzlich zu begründen, wie die gesamte streitige Belastungszeit sachgerecht erfasst wird; die letzte Zweijahresperiode repräsentiert nicht ohne Weiteres jede frühere Periode.</w:t>
      </w:r>
    </w:p>
    <w:p>
      <w:pPr>
        <w:jc w:val="both"/>
      </w:pPr>
      <w:r>
        <w:t>Die hier verwendeten externen Studien decken unterschiedliche Zeiträume ab. Abschnitt 2 trennt deshalb zeitlich passende Befunde, Vergleichsdaten und später entstandene Erkenntnisse. Dass eine Studie später veröffentlicht wurde, schließt eine Untersuchung früherer Sendungen nicht aus. Eine Untersuchung späterer Sendungen beweist aber nicht ohne begründeten Rückschluss den Zustand in einem früheren Beitragszeitraum.</w:t>
      </w:r>
    </w:p>
    <w:p>
      <w:pPr>
        <w:jc w:val="both"/>
      </w:pPr>
      <w:r>
        <w:t xml:space="preserve">Als zeitlich einschlägige Rechtsgrundlagen werden bezeichnet: </w:t>
      </w:r>
      <w:r>
        <w:rPr>
          <w:i/>
          <w:color w:val="555555"/>
        </w:rPr>
        <w:t>{Landeszustimmungsgesetz und Fassung des RBStV; RStV beziehungsweise MStV mit Gültigkeitszeitraum}</w:t>
      </w:r>
      <w:r>
        <w:t>. Die heutige Nummerierung von Programmgrundsätzen darf nicht ohne Kennzeichnung auf historische Programmzeiträume übertragen werden. Die Klage stützt ihre verfassungsrechtliche Kernargumentation auf den nachfolgend bezeichneten Maßstab und ergänzt die fallbezogene Normfassung in K05. [R1; R2; R10]</w:t>
      </w:r>
    </w:p>
    <w:p>
      <w:bookmarkStart w:id="50" w:name="s1_4"/>
      <w:pPr>
        <w:pStyle w:val="Heading2"/>
      </w:pPr>
      <w:r>
        <w:t>1.4 Verfassungsrechtlicher Zusammenhang zwischen Beitrag und Programmvorteil</w:t>
      </w:r>
      <w:bookmarkEnd w:id="50"/>
    </w:p>
    <w:p>
      <w:pPr>
        <w:jc w:val="both"/>
      </w:pPr>
      <w:r>
        <w:t>Der Rundfunkbeitrag ist nach der hier maßgeblichen Rechtsprechung keine Gegenleistung für eine bestimmte von der Klägerseite bestellte Sendung. Entscheidend ist ein objektiv vorteilhaftes Angebot. Die einfachgesetzliche Beitragspflicht enthält keinen unmittelbaren Austauschmechanismus, nach dem ein einzelner Programmverstoß die Zahlungspflicht entfallen ließe. Die Klägerseite leitet ihr Begehren deshalb nicht aus einem allgemeinen Recht zur Leistungsverweigerung wegen unliebsamer Berichterstattung ab. [R1, Rn. 21-33]</w:t>
      </w:r>
    </w:p>
    <w:p>
      <w:pPr>
        <w:jc w:val="both"/>
      </w:pPr>
      <w:r>
        <w:t>Die rechtliche Frage liegt vielmehr bei der sachlichen Rechtfertigung der gesetzlichen Vorzugslast. Nach BVerwG 6 C 5.24 kann diese Rechtfertigung bei einer langfristigen gröblichen Verfehlung von Vielfalt und Ausgewogenheit des Gesamtprogrammangebots entfallen. Der hier geltend gemachte Einwand knüpft an diesen verfassungsrechtlichen Zusammenhang an. Er setzt nicht voraus, dass das Gericht eine einzelne politische Auffassung der Klägerseite zur richtigen erhebt. [R1, Rn. 34-44]</w:t>
      </w:r>
    </w:p>
    <w:p>
      <w:pPr>
        <w:jc w:val="both"/>
      </w:pPr>
      <w:r>
        <w:t>Die Klägerseite unterscheidet deshalb drei Prüfungen: Welche rechtliche Schwelle gilt? Welche tatsächlichen Anhaltspunkte sind zu deren Untersuchung vorgetragen? Welche Feststellungen trägt eine anschließende Beweiserhebung? Die folgenden Abschnitte ordnen die Materialien diesen verschiedenen Aufgaben zu. Ein theoretischer Beitrag zur gerichtlichen Kontrollfähigkeit wird nicht als selbstständige empirische Bestätigung eines bestimmten Programmzustands gezählt.</w:t>
      </w:r>
    </w:p>
    <w:p>
      <w:bookmarkStart w:id="51" w:name="s1_5"/>
      <w:pPr>
        <w:pStyle w:val="Heading2"/>
      </w:pPr>
      <w:r>
        <w:t>1.5 Gesamtangebot, Dauer und Gewicht der behaupteten Defizite</w:t>
      </w:r>
      <w:bookmarkEnd w:id="51"/>
    </w:p>
    <w:p>
      <w:pPr>
        <w:jc w:val="both"/>
      </w:pPr>
      <w:r>
        <w:t>Das relevante Gesamtangebot umfasst die beitragsfinanzierten öffentlich-rechtlichen Angebote in Fernsehen, Hörfunk und Telemedien. Zur gegenständlichen Vielfalt gehören nicht nur politische Nachrichten, sondern auch Kultur, Bildung, Information, Beratung und Unterhaltung. Eine thematische oder formatspezifische Untersuchung darf nur mit einer nachvollziehbaren Begründung auf diesen weiteren Gegenstand bezogen werden. Die Möglichkeit eines Ausgleichs durch andere öffentlich-rechtliche Angebote ist einzubeziehen. [R1, Rn. 39-44]</w:t>
      </w:r>
    </w:p>
    <w:p>
      <w:pPr>
        <w:jc w:val="both"/>
      </w:pPr>
      <w:r>
        <w:t>Für die Klägerseite folgt daraus weder eine Beschränkung auf isolierte Einzelsendungen noch die Forderung nach einem schematischen Parteienproporz. Die zu untersuchende Hypothese betrifft wiederkehrende, zeitlich stabile und für die Meinungsbildung bedeutsame Verengungen. Unterschiedliche Häufigkeiten von Akteuren oder Themen sind zunächst zu erklären; sie sind nicht bereits aus sich heraus ein Rechtsverstoß. Die gerichtliche Wertung kann erst auf einem geeigneten tatsächlichen Fundament erfolgen.</w:t>
      </w:r>
    </w:p>
    <w:p>
      <w:pPr>
        <w:jc w:val="both"/>
      </w:pPr>
      <w:r>
        <w:t>Dabei dürfen gegenständliche Breite und meinungsbezogene Vielfalt nicht ungeprüft miteinander verrechnet werden. Die Klägerseite vertritt, dass ein abwechslungsreiches Kultur- oder Unterhaltungsangebot ein konkret belegtes langfristiges Defizit in der Darstellung relevanter gesellschaftlicher Gegenpositionen nicht schon begrifflich ausschließt. Das ist eine rechtliche Argumentation zur Bedeutung der Funktionen im Gesamtangebot, keine Behauptung, der gegenständliche Teil des Auftrags dürfe aus der Prüfung entfernt werden.</w:t>
      </w:r>
    </w:p>
    <w:p>
      <w:bookmarkStart w:id="52" w:name="s1_6"/>
      <w:pPr>
        <w:pStyle w:val="Heading2"/>
      </w:pPr>
      <w:r>
        <w:t>1.6 Programmfreiheit und Grenze gerichtlicher Kontrolle</w:t>
      </w:r>
      <w:bookmarkEnd w:id="52"/>
    </w:p>
    <w:p>
      <w:pPr>
        <w:jc w:val="both"/>
      </w:pPr>
      <w:r>
        <w:t>Die redaktionelle Freiheit bleibt Ausgangspunkt der Untersuchung. Die Klägerseite beantragt keine gerichtliche Gästeauswahl, keine Themenquote und keine Vorgabe des Ergebnisses eines Kommentars. Die gerichtliche Aufgabe besteht in der Prüfung des rechtlich erheblichen Evidenzeinwands, nicht in der laufenden redaktionellen Programmaufsicht. Gerade deshalb werden in Abschnitt 2 Indikatoren, Bezugsgruppen und alternative Erklärungen unterschieden. [R1, Rn. 36-40]</w:t>
      </w:r>
    </w:p>
    <w:p>
      <w:pPr>
        <w:jc w:val="both"/>
      </w:pPr>
      <w:r>
        <w:t>Eine kritische Bewertung einer Partei, Regierung, Institution oder politischen Forderung ist nicht schon wegen ihrer Schärfe unzulässig. Ebenso wenig besteht ein Anspruch darauf, dass jede gesellschaftliche Behauptung unabhängig von ihrem Tatsachengehalt gleich viel Sendezeit erhält. Der Einwand richtet sich auf die anhand offengelegter Kriterien zu untersuchende langfristige Struktur des Angebots. Die Plausibilität einzelner kontroverser medizinischer oder politischer Behauptungen wird mit dieser Klage nicht ungeprüft übernommen.</w:t>
      </w:r>
    </w:p>
    <w:p>
      <w:bookmarkStart w:id="53" w:name="s1_7"/>
      <w:pPr>
        <w:pStyle w:val="Heading2"/>
      </w:pPr>
      <w:r>
        <w:t>1.7 Die bisherige Abweisungspraxis und ihre konkrete Bedeutung</w:t>
      </w:r>
      <w:bookmarkEnd w:id="53"/>
    </w:p>
    <w:p>
      <w:pPr>
        <w:jc w:val="both"/>
      </w:pPr>
      <w:r>
        <w:t xml:space="preserve">Die dem Projekt berichteten Entscheidungen nennen wiederkehrend vier Probleme: einen zu engen Untersuchungsausschnitt, nicht passende Zeiträume, fehlende methodische Absicherung und pauschale Datenbegehren. Solche Berichte sind kein Beleg dafür, dass das hier zuständige Gericht den aktuellen Vortrag bereits behandelt oder rechtsfehlerhaft zurückgewiesen hätte. Für das eigene Verfahren wird daher gesondert dargestellt: </w:t>
      </w:r>
      <w:r>
        <w:rPr>
          <w:i/>
          <w:color w:val="555555"/>
        </w:rPr>
        <w:t>{gerichtlicher Hinweis oder Entscheidung; Datum; Seite; genaue Beanstandung; darauf bezogene Ergänzung}</w:t>
      </w:r>
      <w:r>
        <w:t>. [V, Kap. 24; individuelle Gerichtsakte K06]</w:t>
      </w:r>
    </w:p>
    <w:p>
      <w:pPr>
        <w:jc w:val="both"/>
      </w:pPr>
      <w:r>
        <w:t>Die Klägerseite reagiert hierauf nicht allein durch weitere Textmenge. Abschnitt 2 ordnet jedes Untersuchungsmaterial nach Messgegenstand, Zeitraum, Befund und Grenze. Abschnitt 3 trennt Beschwerdeaktivität von nachgewiesener Abhilfe. Abschnitt 4 bezeichnet konkrete Erkenntnislücken und Aufklärungsmittel. Damit wird erkennbar, welcher Teil eines gerichtlichen Einwands bereits beantwortet wird und welche Tatsachenfrage offenbleibt.</w:t>
      </w:r>
    </w:p>
    <w:p>
      <w:pPr>
        <w:jc w:val="both"/>
      </w:pPr>
      <w:r>
        <w:t>Der VGH Baden-Württemberg hat in 2 S 2529/25 die Zumutbarkeit einer vorgelagerten, aufwendigen privaten Gesamtuntersuchung problematisiert, die Berufung aber gleichwohl zurückgewiesen. Die Klägerseite übernimmt daraus den Einwand gegen eine unverhältnismäßige Vorleistungshürde, nicht die Behauptung eines gewonnenen Beitragsprozesses. Soweit die Entscheidung der gerichtlichen Programmprüfung materielle Grenzen zieht, bleibt die abweichende Argumentation aus BVerwG 6 C 5.24 zu erörtern. [R3, S. 14-32]</w:t>
      </w:r>
    </w:p>
    <w:p>
      <w:bookmarkStart w:id="54" w:name="s1_8"/>
      <w:pPr>
        <w:pStyle w:val="Heading2"/>
      </w:pPr>
      <w:r>
        <w:t>1.8 Gegenstand der weiteren Beweisführung</w:t>
      </w:r>
      <w:bookmarkEnd w:id="54"/>
    </w:p>
    <w:p>
      <w:pPr>
        <w:jc w:val="both"/>
      </w:pPr>
      <w:r>
        <w:t>Die Klägerseite macht sich die folgenden Ausführungen als eigenen, quellenbezogenen Parteivortrag zu eigen. Die drei internen Ausgangsgutachten werden nicht pauschal als eigenständige Beweispakete inkorporiert. Ihre relevanten Argumentationslinien stehen unmittelbar in den vier Abschnitten. Externe Studien, konkrete Sendeinhalte, Rohdaten, Beschwerden, Antworten und Gerichtsentscheidungen bleiben dagegen eigenständig prüfbare Quellen. Welche davon tatsächlich vorgelegt werden, ergibt sich allein aus dem ausgefüllten Nachweisregister.</w:t>
      </w:r>
    </w:p>
    <w:p>
      <w:pPr>
        <w:jc w:val="both"/>
      </w:pPr>
      <w:r>
        <w:t xml:space="preserve">Der konkrete Tatsachenkern lautet: </w:t>
      </w:r>
      <w:r>
        <w:rPr>
          <w:i/>
          <w:color w:val="555555"/>
        </w:rPr>
        <w:t>{wenige bereits belegte, zeitlich passende Strukturindizien unter Bezug auf Abschnitt 2 und 3}</w:t>
      </w:r>
      <w:r>
        <w:t xml:space="preserve">. Die damit verbundene offene Erkenntnisfrage lautet: </w:t>
      </w:r>
      <w:r>
        <w:rPr>
          <w:i/>
          <w:color w:val="555555"/>
        </w:rPr>
        <w:t>{genaue Lücke}</w:t>
      </w:r>
      <w:r>
        <w:t xml:space="preserve">. Als hierfür geeignetes Mittel wird </w:t>
      </w:r>
      <w:r>
        <w:rPr>
          <w:i/>
          <w:color w:val="555555"/>
        </w:rPr>
        <w:t>{bestimmte Urkunde, Datenbestand, Zeuge oder sachverständige Prüfung nach Abschnitt 4}</w:t>
      </w:r>
      <w:r>
        <w:t xml:space="preserve"> bezeichnet. Ein allgemeiner Verdacht wird nicht durch die bloßen Worte "Amtsermittlung" oder "sekundäre Darlegungslast" in eine bewiesene Tatsache verwandelt.</w:t>
      </w:r>
    </w:p>
    <w:p>
      <w:bookmarkStart w:id="55" w:name="s1_9"/>
      <w:pPr>
        <w:pStyle w:val="Heading2"/>
      </w:pPr>
      <w:r>
        <w:t>1.9 Rechtsfolge und Begrenzung des Rechtsschutzziels</w:t>
      </w:r>
      <w:bookmarkEnd w:id="55"/>
    </w:p>
    <w:p>
      <w:pPr>
        <w:jc w:val="both"/>
      </w:pPr>
      <w:r>
        <w:t>Soweit die gerichtliche Aufklärung zur Überzeugung von einer entscheidungserheblichen Verfassungswidrigkeit der gesetzlichen Beitragspflicht führt, ist das Verfahren nach Art. 100 Abs. 1 GG zu beachten. Die Klage beantragt nicht, die gesetzliche Grundlage allein aufgrund des privaten Vortrags unangewendet zu lassen. Das Aufhebungsbegehren richtet sich nach den gesetzlichen Voraussetzungen und der hierfür gebotenen verfassungsgerichtlichen Klärung. [R1, Rn. 45-50; R10]</w:t>
      </w:r>
    </w:p>
    <w:p>
      <w:pPr>
        <w:jc w:val="both"/>
      </w:pPr>
      <w:r>
        <w:t>Vollstreckung, automatisierte Bescheiderstellung, allgemeine Abgabenpolitik und individuelle Befreiungstatbestände werden in dieser programmbezogenen Fassung nicht als weitere Angriffskomplexe ausgearbeitet. Tatsächlich vorhandene eigenständige Einwendungen werden dadurch weder zurückgenommen noch behauptet; sie bedürfen eines ausdrücklichen fallbezogenen Vortrags. Diese Abgrenzung verhindert, dass die Tatsachenprüfung des Programmangebots mit anderen Rechtsfragen verwechselt wird.</w:t>
      </w:r>
    </w:p>
    <w:p>
      <w:pPr>
        <w:pStyle w:val="Heading3"/>
      </w:pPr>
      <w:r>
        <w:t>Nachweise zu Abschnitt 1</w:t>
      </w:r>
    </w:p>
    <w:p>
      <w:pPr>
        <w:pStyle w:val="Source"/>
      </w:pPr>
      <w:r>
        <w:t xml:space="preserve">[R1] BVerwG, Urteil vom 15.10.2025 - 6 C 5.24, amtlicher Volltext, insbesondere Rn. 21-50: </w:t>
      </w:r>
      <w:hyperlink r:id="rId11">
        <w:r>
          <w:rPr>
            <w:color w:val="333333"/>
            <w:u w:val="single"/>
          </w:rPr>
          <w:t>Quelle aufrufen</w:t>
        </w:r>
      </w:hyperlink>
    </w:p>
    <w:p>
      <w:pPr>
        <w:pStyle w:val="Source"/>
      </w:pPr>
      <w:r>
        <w:t xml:space="preserve">[R2] VwGO, insbesondere §§ 42, 52, 74, 81, 82, 86, 88, 108, 113: </w:t>
      </w:r>
      <w:hyperlink r:id="rId12">
        <w:r>
          <w:rPr>
            <w:color w:val="333333"/>
            <w:u w:val="single"/>
          </w:rPr>
          <w:t>Quelle aufrufen</w:t>
        </w:r>
      </w:hyperlink>
    </w:p>
    <w:p>
      <w:pPr>
        <w:pStyle w:val="Source"/>
      </w:pPr>
      <w:r>
        <w:t>[R3] VGH Baden-Württemberg, Urteil vom 14.04.2026 - 2 S 2529/25, amtliche Entscheidungsfassung, 43 Seiten; Fundstelle im internen Quellenverzeichnis.</w:t>
      </w:r>
    </w:p>
    <w:p>
      <w:pPr>
        <w:pStyle w:val="Source"/>
      </w:pPr>
      <w:r>
        <w:t xml:space="preserve">[R9] BVerwG, Beschluss vom 03.09.2024 - 6 AV 2.24: </w:t>
      </w:r>
      <w:hyperlink r:id="rId13">
        <w:r>
          <w:rPr>
            <w:color w:val="333333"/>
            <w:u w:val="single"/>
          </w:rPr>
          <w:t>Quelle aufrufen</w:t>
        </w:r>
      </w:hyperlink>
    </w:p>
    <w:p>
      <w:pPr>
        <w:pStyle w:val="Source"/>
      </w:pPr>
      <w:r>
        <w:t xml:space="preserve">[R10] GG, insbesondere Art. 2 Abs. 1, Art. 3 Abs. 1, Art. 5 Abs. 1, Art. 19 Abs. 4, Art. 100 Abs. 1: </w:t>
      </w:r>
      <w:hyperlink r:id="rId14">
        <w:r>
          <w:rPr>
            <w:color w:val="333333"/>
            <w:u w:val="single"/>
          </w:rPr>
          <w:t>Quelle aufrufen</w:t>
        </w:r>
      </w:hyperlink>
    </w:p>
    <w:p>
      <w:pPr>
        <w:pStyle w:val="Source"/>
      </w:pPr>
      <w:r>
        <w:t>[V] V-Gutachten, Version 1.3, dokumentinterner Stand 06.06.2026, insbesondere Kap. 5-7 und 24. Die Argumentation ist hier eingearbeitet; das Original ist keine pauschal erforderliche Klageanlage.</w:t>
      </w:r>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Beitragsklage | Abschnitt 1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www.bverwg.de/030924B6AV2.24.0" TargetMode="External"/><Relationship Id="rId14" Type="http://schemas.openxmlformats.org/officeDocument/2006/relationships/hyperlink" Target="https://www.gesetze-im-internet.de/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Beitragsklage | Abschnitt 1</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