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Inhaltsverzeichnis</w:t>
      </w:r>
    </w:p>
    <w:p>
      <w:pPr>
        <w:pStyle w:val="Smallnote"/>
      </w:pPr>
      <w:r>
        <w:t>Verweise erfolgen über die stabilen Abschnittsziffern statt wechselnder Seitenzahlen. Dies erhält die Zuordnung bei Einzelverwendung und nach Individualisierung.</w:t>
      </w:r>
    </w:p>
    <w:p>
      <w:pPr>
        <w:pStyle w:val="Heading2"/>
      </w:pPr>
      <w:r>
        <w:t>1. Individueller Bescheidstreit und rechtlicher Prüfungsmaßstab</w:t>
      </w:r>
    </w:p>
    <w:p>
      <w:pPr>
        <w:pStyle w:val="TOCline"/>
      </w:pPr>
      <w:r>
        <w:t>1.1 Gegenstand, Beteiligte und angefochtene Entscheidungen</w:t>
      </w:r>
    </w:p>
    <w:p>
      <w:pPr>
        <w:pStyle w:val="TOCline"/>
      </w:pPr>
      <w:r>
        <w:t>1.2 Statthafte Klage und bestimmter Antrag</w:t>
      </w:r>
    </w:p>
    <w:p>
      <w:pPr>
        <w:pStyle w:val="TOCline"/>
      </w:pPr>
      <w:r>
        <w:t>1.3 Untersuchungszeitraum und historische Normfassung</w:t>
      </w:r>
    </w:p>
    <w:p>
      <w:pPr>
        <w:pStyle w:val="TOCline"/>
      </w:pPr>
      <w:r>
        <w:t>1.4 Verfassungsrechtlicher Zusammenhang zwischen Beitrag und Programmvorteil</w:t>
      </w:r>
    </w:p>
    <w:p>
      <w:pPr>
        <w:pStyle w:val="TOCline"/>
      </w:pPr>
      <w:r>
        <w:t>1.5 Gesamtangebot, Dauer und Gewicht der behaupteten Defizite</w:t>
      </w:r>
    </w:p>
    <w:p>
      <w:pPr>
        <w:pStyle w:val="TOCline"/>
      </w:pPr>
      <w:r>
        <w:t>1.6 Programmfreiheit und Grenze gerichtlicher Kontrolle</w:t>
      </w:r>
    </w:p>
    <w:p>
      <w:pPr>
        <w:pStyle w:val="TOCline"/>
      </w:pPr>
      <w:r>
        <w:t>1.7 Die bisherige Abweisungspraxis und ihre konkrete Bedeutung</w:t>
      </w:r>
    </w:p>
    <w:p>
      <w:pPr>
        <w:pStyle w:val="TOCline"/>
      </w:pPr>
      <w:r>
        <w:t>1.8 Gegenstand der weiteren Beweisführung</w:t>
      </w:r>
    </w:p>
    <w:p>
      <w:pPr>
        <w:pStyle w:val="TOCline"/>
      </w:pPr>
      <w:r>
        <w:t>1.9 Rechtsfolge und Begrenzung des Rechtsschutzziels</w:t>
      </w:r>
    </w:p>
    <w:p>
      <w:pPr>
        <w:pStyle w:val="Heading2"/>
      </w:pPr>
      <w:r>
        <w:t>2. Programmbezogene Erkenntnisse und wissenschaftliche Einordnung</w:t>
      </w:r>
    </w:p>
    <w:p>
      <w:pPr>
        <w:pStyle w:val="TOCline"/>
      </w:pPr>
      <w:r>
        <w:t>2.1 Beweisgegenstand: wiederkehrendes Muster statt Sammlung von Missfallen</w:t>
      </w:r>
    </w:p>
    <w:p>
      <w:pPr>
        <w:pStyle w:val="TOCline"/>
      </w:pPr>
      <w:r>
        <w:t>2.2 Quellenarten und Grad der eigenen Nachprüfung</w:t>
      </w:r>
    </w:p>
    <w:p>
      <w:pPr>
        <w:pStyle w:val="TOCline"/>
      </w:pPr>
      <w:r>
        <w:t>2.3 Die Stellungnahme von Prof. Dr. Werner Müller</w:t>
      </w:r>
    </w:p>
    <w:p>
      <w:pPr>
        <w:pStyle w:val="TOCline"/>
      </w:pPr>
      <w:r>
        <w:t>2.4 Glashaus: langfristige Kommentaranalyse</w:t>
      </w:r>
    </w:p>
    <w:p>
      <w:pPr>
        <w:pStyle w:val="TOCline"/>
      </w:pPr>
      <w:r>
        <w:t>2.5 O-Ton-Auswertung: vier Nachrichtensendungen, unterschiedliche Korpora</w:t>
      </w:r>
    </w:p>
    <w:p>
      <w:pPr>
        <w:pStyle w:val="TOCline"/>
      </w:pPr>
      <w:r>
        <w:t>2.6 Erkenntniswert der regionalen Archivlücken</w:t>
      </w:r>
    </w:p>
    <w:p>
      <w:pPr>
        <w:pStyle w:val="TOCline"/>
      </w:pPr>
      <w:r>
        <w:t>2.7 Jeitner, Maurer und weitere im V-Gutachten benannte Arbeiten</w:t>
      </w:r>
    </w:p>
    <w:p>
      <w:pPr>
        <w:pStyle w:val="TOCline"/>
      </w:pPr>
      <w:r>
        <w:t>2.8 Zukunftsrat und Reformdiagnosen</w:t>
      </w:r>
    </w:p>
    <w:p>
      <w:pPr>
        <w:pStyle w:val="TOCline"/>
      </w:pPr>
      <w:r>
        <w:t>2.9 Produktionsvorgänge als erklärender, nicht ersetzender Baustein</w:t>
      </w:r>
    </w:p>
    <w:p>
      <w:pPr>
        <w:pStyle w:val="TOCline"/>
      </w:pPr>
      <w:r>
        <w:t>2.10 Ein gemeinsames Modell: Output, Kontrolle und Produktion</w:t>
      </w:r>
    </w:p>
    <w:p>
      <w:pPr>
        <w:pStyle w:val="TOCline"/>
      </w:pPr>
      <w:r>
        <w:t>2.11 Gesamtprogrammbezug ohne schematische Vollerhebung</w:t>
      </w:r>
    </w:p>
    <w:p>
      <w:pPr>
        <w:pStyle w:val="TOCline"/>
      </w:pPr>
      <w:r>
        <w:t>2.12 Kategorien, Referenzmassstab und Gewichtung</w:t>
      </w:r>
    </w:p>
    <w:p>
      <w:pPr>
        <w:pStyle w:val="TOCline"/>
      </w:pPr>
      <w:r>
        <w:t>2.13 Ausgleichsangebote und Erklärungsalternativen</w:t>
      </w:r>
    </w:p>
    <w:p>
      <w:pPr>
        <w:pStyle w:val="TOCline"/>
      </w:pPr>
      <w:r>
        <w:t>2.14 Reproduzierbarkeit und menschliche Verantwortung</w:t>
      </w:r>
    </w:p>
    <w:p>
      <w:pPr>
        <w:pStyle w:val="TOCline"/>
      </w:pPr>
      <w:r>
        <w:t>2.15 Ergebnis dieses Abschnitts</w:t>
      </w:r>
    </w:p>
    <w:p>
      <w:pPr>
        <w:pStyle w:val="Heading2"/>
      </w:pPr>
      <w:r>
        <w:t>3. Programmbeschwerden, Gremienkontrolle und institutionelle Rückkopplung</w:t>
      </w:r>
    </w:p>
    <w:p>
      <w:pPr>
        <w:pStyle w:val="TOCline"/>
      </w:pPr>
      <w:r>
        <w:t>3.1 Funktion der Beschwerde- und Kontrollstrukturen</w:t>
      </w:r>
    </w:p>
    <w:p>
      <w:pPr>
        <w:pStyle w:val="TOCline"/>
      </w:pPr>
      <w:r>
        <w:t>3.2 Datengrundlage und Herkunft</w:t>
      </w:r>
    </w:p>
    <w:p>
      <w:pPr>
        <w:pStyle w:val="TOCline"/>
      </w:pPr>
      <w:r>
        <w:t>3.3 Ursprungsvorgänge, Teilungen und Gremieninformationen</w:t>
      </w:r>
    </w:p>
    <w:p>
      <w:pPr>
        <w:pStyle w:val="TOCline"/>
      </w:pPr>
      <w:r>
        <w:t>3.4 Medien- und Senderverteilung</w:t>
      </w:r>
    </w:p>
    <w:p>
      <w:pPr>
        <w:pStyle w:val="TOCline"/>
      </w:pPr>
      <w:r>
        <w:t>3.5 Vorwurfskategorien und fehlende materielle Validierung</w:t>
      </w:r>
    </w:p>
    <w:p>
      <w:pPr>
        <w:pStyle w:val="TOCline"/>
      </w:pPr>
      <w:r>
        <w:t>3.6 Zeitlicher Verlauf und keine unbelegte Motivdiagnose</w:t>
      </w:r>
    </w:p>
    <w:p>
      <w:pPr>
        <w:pStyle w:val="TOCline"/>
      </w:pPr>
      <w:r>
        <w:t>3.7 Das Wirkungsstufenmodell des Rundfunkalarm-Gutachtens</w:t>
      </w:r>
    </w:p>
    <w:p>
      <w:pPr>
        <w:pStyle w:val="TOCline"/>
      </w:pPr>
      <w:r>
        <w:t>3.8 Die Aussage "keine dokumentierte Korrektur" richtig verwenden</w:t>
      </w:r>
    </w:p>
    <w:p>
      <w:pPr>
        <w:pStyle w:val="TOCline"/>
      </w:pPr>
      <w:r>
        <w:t>3.9 Vollständige Beschwerdeketten als Untersuchungseinheit</w:t>
      </w:r>
    </w:p>
    <w:p>
      <w:pPr>
        <w:pStyle w:val="TOCline"/>
      </w:pPr>
      <w:r>
        <w:t>3.10 Eigenständigkeit der Gremienkontrolle</w:t>
      </w:r>
    </w:p>
    <w:p>
      <w:pPr>
        <w:pStyle w:val="TOCline"/>
      </w:pPr>
      <w:r>
        <w:t>3.11 Verknüpfung von Beschwerden mit wiederkehrenden Programmmerkmalen</w:t>
      </w:r>
    </w:p>
    <w:p>
      <w:pPr>
        <w:pStyle w:val="TOCline"/>
      </w:pPr>
      <w:r>
        <w:t>3.12 Bedeutung für den konkreten Rechtsstreit</w:t>
      </w:r>
    </w:p>
    <w:p>
      <w:pPr>
        <w:pStyle w:val="TOCline"/>
      </w:pPr>
      <w:r>
        <w:t>3.13 Abgestufte Aufklärung statt unbegrenzter Offenlegung</w:t>
      </w:r>
    </w:p>
    <w:p>
      <w:pPr>
        <w:pStyle w:val="TOCline"/>
      </w:pPr>
      <w:r>
        <w:t>3.14 Ergebnis dieses Abschnitts</w:t>
      </w:r>
    </w:p>
    <w:p>
      <w:pPr>
        <w:pStyle w:val="Heading2"/>
      </w:pPr>
      <w:r>
        <w:t>4. Erkenntniszugang, gerichtliche Aufklärung und konkrete Beweisführung</w:t>
      </w:r>
    </w:p>
    <w:p>
      <w:pPr>
        <w:pStyle w:val="TOCline"/>
      </w:pPr>
      <w:r>
        <w:t>4.1 Institutioneller Lebenssachverhalt und gerichtlicher Prüfungsgegenstand</w:t>
      </w:r>
    </w:p>
    <w:p>
      <w:pPr>
        <w:pStyle w:val="TOCline"/>
      </w:pPr>
      <w:r>
        <w:t>4.2 Effektiver Rechtsschutz und tatsächliche Erkenntnismöglichkeit</w:t>
      </w:r>
    </w:p>
    <w:p>
      <w:pPr>
        <w:pStyle w:val="TOCline"/>
      </w:pPr>
      <w:r>
        <w:t>4.3 Drei verschiedene Prüfungen: Zulässigkeit, Aufklärungsanlass und Endbeweis</w:t>
      </w:r>
    </w:p>
    <w:p>
      <w:pPr>
        <w:pStyle w:val="TOCline"/>
      </w:pPr>
      <w:r>
        <w:t>4.4 Amtsermittlung und freie richterliche Überzeugungsbildung</w:t>
      </w:r>
    </w:p>
    <w:p>
      <w:pPr>
        <w:pStyle w:val="TOCline"/>
      </w:pPr>
      <w:r>
        <w:t>4.5 Sekundäre Darlegungslast: Informationsnähe ohne automatischen Lastenwechsel</w:t>
      </w:r>
    </w:p>
    <w:p>
      <w:pPr>
        <w:pStyle w:val="TOCline"/>
      </w:pPr>
      <w:r>
        <w:t>4.6 Einordnung des im Kurzgutachten genannten BGH-Verfahrens</w:t>
      </w:r>
    </w:p>
    <w:p>
      <w:pPr>
        <w:pStyle w:val="TOCline"/>
      </w:pPr>
      <w:r>
        <w:t>4.7 Welche Daten konkret gemeint sind</w:t>
      </w:r>
    </w:p>
    <w:p>
      <w:pPr>
        <w:pStyle w:val="TOCline"/>
      </w:pPr>
      <w:r>
        <w:t>4.8 Öffentlicher Zugang, Archivzugang und dokumentierte Lücken</w:t>
      </w:r>
    </w:p>
    <w:p>
      <w:pPr>
        <w:pStyle w:val="TOCline"/>
      </w:pPr>
      <w:r>
        <w:t>4.9 Schutzbelange, milde Mittel und Datenbewahrung</w:t>
      </w:r>
    </w:p>
    <w:p>
      <w:pPr>
        <w:pStyle w:val="TOCline"/>
      </w:pPr>
      <w:r>
        <w:t>4.10 Abgestufter Aufklärungsplan</w:t>
      </w:r>
    </w:p>
    <w:p>
      <w:pPr>
        <w:pStyle w:val="TOCline"/>
      </w:pPr>
      <w:r>
        <w:t>4.11 Bestimmte Beweistatsachen und passende Beweismittel</w:t>
      </w:r>
    </w:p>
    <w:p>
      <w:pPr>
        <w:pStyle w:val="TOCline"/>
      </w:pPr>
      <w:r>
        <w:t>4.12 Konkrete gerichtliche Anregung und Abgrenzung vom Ausforschungsbegehren</w:t>
      </w:r>
    </w:p>
    <w:p>
      <w:pPr>
        <w:pStyle w:val="TOCline"/>
      </w:pPr>
      <w:r>
        <w:t>4.13 Bisherige Abweisungen: konkrete Auseinandersetzung statt Motivbehauptung</w:t>
      </w:r>
    </w:p>
    <w:p>
      <w:pPr>
        <w:pStyle w:val="TOCline"/>
      </w:pPr>
      <w:r>
        <w:t>4.14 Vergleich von Entscheidungsbegründungen und Umgang mit KI</w:t>
      </w:r>
    </w:p>
    <w:p>
      <w:pPr>
        <w:pStyle w:val="TOCline"/>
      </w:pPr>
      <w:r>
        <w:t>4.15 Fristen, Entscheidungsreife und Kosten</w:t>
      </w:r>
    </w:p>
    <w:p>
      <w:pPr>
        <w:pStyle w:val="TOCline"/>
      </w:pPr>
      <w:r>
        <w:t>4.16 Gemeinsame Dokumentation und Beweismittelbestand</w:t>
      </w:r>
    </w:p>
    <w:p>
      <w:pPr>
        <w:pStyle w:val="TOCline"/>
      </w:pPr>
      <w:r>
        <w:t>4.17 Schlussfolgerung und beantragte gerichtliche Behandlung</w:t>
      </w:r>
    </w:p>
    <w:p>
      <w:pPr>
        <w:pStyle w:val="Smallnote"/>
      </w:pPr>
      <w:r>
        <w:t>Antrags-/Unterschriftsblatt und tatsächlich bezeichnete Belege folgen gesondert. Quellenhinweise stehen jeweils am Ende des betreffenden Abschnitts.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76" w:right="1276" w:bottom="1134" w:left="1389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note"/>
      <w:jc w:val="right"/>
    </w:pPr>
    <w:r>
      <w:t xml:space="preserve">Seite </w:t>
    </w:r>
    <w:r>
      <w:fldChar w:fldCharType="begin"/>
    </w:r>
    <w:r>
      <w:instrText xml:space="preserve"> PAGE </w:instrText>
    </w:r>
    <w:r>
      <w:fldChar w:fldCharType="end"/>
    </w:r>
    <w:r>
      <w:t xml:space="preserve"> von </w:t>
    </w:r>
    <w:r>
      <w:fldChar w:fldCharType="begin"/>
    </w:r>
    <w:r>
      <w:instrText xml:space="preserve"> NUMPAGES 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note"/>
      <w:spacing w:after="40"/>
      <w:pBdr>
        <w:bottom w:val="single" w:sz="4" w:color="BDBDBD"/>
      </w:pBdr>
    </w:pPr>
    <w:r>
      <w:t>Beitragsklage | Inhaltsverzeichnis | V4 | 04.10.2026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1" w:lineRule="auto"/>
    </w:pPr>
    <w:rPr>
      <w:rFonts w:ascii="Times New Roman" w:hAnsi="Times New Roman"/>
      <w:sz w:val="24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220" w:line="254" w:lineRule="auto"/>
      <w:outlineLvl w:val="0"/>
    </w:pPr>
    <w:rPr>
      <w:rFonts w:ascii="Times New Roman" w:hAnsi="Times New Roman"/>
      <w:b/>
      <w:bCs/>
      <w:color w:val="111111"/>
      <w:sz w:val="32"/>
      <w:szCs w:val="28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="254" w:lineRule="auto"/>
      <w:outlineLvl w:val="1"/>
    </w:pPr>
    <w:rPr>
      <w:rFonts w:ascii="Times New Roman" w:hAnsi="Times New Roman"/>
      <w:b/>
      <w:bCs/>
      <w:color w:val="111111"/>
      <w:sz w:val="25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 w:line="254" w:lineRule="auto"/>
      <w:outlineLvl w:val="2"/>
    </w:pPr>
    <w:rPr>
      <w:rFonts w:ascii="Times New Roman" w:hAnsi="Times New Roman"/>
      <w:b/>
      <w:bCs/>
      <w:color w:val="111111"/>
      <w:sz w:val="23"/>
      <w:lang w:val="de-D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260" w:line="254" w:lineRule="auto" w:before="0"/>
      <w:contextualSpacing/>
    </w:pPr>
    <w:rPr>
      <w:rFonts w:ascii="Times New Roman" w:hAnsi="Times New Roman"/>
      <w:b/>
      <w:color w:val="111111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keepLines/>
      <w:numPr>
        <w:ilvl w:val="1"/>
      </w:numPr>
      <w:spacing w:before="0" w:after="180" w:line="254" w:lineRule="auto"/>
    </w:pPr>
    <w:rPr>
      <w:rFonts w:ascii="Times New Roman" w:hAnsi="Times New Roman"/>
      <w:b w:val="0"/>
      <w:i/>
      <w:iCs/>
      <w:color w:val="11111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widowControl/>
      <w:spacing w:after="120" w:line="271" w:lineRule="auto"/>
    </w:pPr>
    <w:rPr>
      <w:rFonts w:ascii="Times New Roman" w:hAnsi="Times New Roman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">
    <w:name w:val="Source"/>
    <w:basedOn w:val="Normal"/>
    <w:pPr>
      <w:keepLines/>
      <w:spacing w:after="80" w:line="252" w:lineRule="auto"/>
    </w:pPr>
    <w:rPr>
      <w:rFonts w:ascii="Times New Roman" w:hAnsi="Times New Roman"/>
      <w:sz w:val="19"/>
    </w:rPr>
  </w:style>
  <w:style w:type="paragraph" w:customStyle="1" w:styleId="Smallnote">
    <w:name w:val="Small note"/>
    <w:basedOn w:val="Normal"/>
    <w:pPr>
      <w:keepLines/>
      <w:spacing w:after="80" w:line="252" w:lineRule="auto"/>
    </w:pPr>
    <w:rPr>
      <w:rFonts w:ascii="Times New Roman" w:hAnsi="Times New Roman"/>
      <w:color w:val="555555"/>
      <w:sz w:val="20"/>
    </w:rPr>
  </w:style>
  <w:style w:type="paragraph" w:customStyle="1" w:styleId="TOCline">
    <w:name w:val="TOC line"/>
    <w:basedOn w:val="Normal"/>
    <w:pPr>
      <w:keepLines/>
      <w:spacing w:after="80" w:line="252" w:lineRule="auto"/>
    </w:pPr>
    <w:rPr>
      <w:rFonts w:ascii="Times New Roman" w:hAnsi="Times New Roman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Beitragsklage | Inhaltsverzeichnis</dc:title>
  <dc:subject>Modulare Klage mit integrierter Begründung</dc:subject>
  <dc:creator>Beitragsstopper - Arbeitsfassung</dc:creator>
  <cp:keywords>Beitragsstopper, Projekt 51, V4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