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K20 - Fachliche Stellungnahme zur Durchführbarkeit</w:t>
      </w:r>
    </w:p>
    <w:p>
      <w:pPr/>
      <w:r>
        <w:t>AUFTRAGS- UND DOKUMENTATIONSVORLAGE. Kein bereits erstelltes Sachverständigengutachten.</w:t>
      </w:r>
    </w:p>
    <w:p>
      <w:pPr>
        <w:pStyle w:val="Heading2"/>
      </w:pPr>
      <w:r>
        <w:t>1. Auftrag und verantwortliche Fachperson</w:t>
      </w:r>
    </w:p>
    <w:p>
      <w:pPr/>
      <w:r>
        <w:t>Das Vorhaben {{KonkreterUntersuchungszweck}} betrifft {{ProgrammzeitraumBeginn}} bis {{ProgrammzeitraumEnde}}. Fachlich verantwortlich ist {{Fachperson}} mit der dokumentierten Eignung {{Eignungsnachweis}}. Der tatsächlich erteilte Auftrag vom {{Auftragsdatum}} umfasst {{Auftragsumfang}}. Der Stand der Bearbeitung lautet {{Bearbeitungsstand}}; als realistischer Abschluss ist {{ErwarteterAbschluss}} benannt. Unbeauftragte oder nur erhoffte Arbeiten sind entsprechend zu kennzeichnen.</w:t>
      </w:r>
    </w:p>
    <w:p>
      <w:pPr>
        <w:pStyle w:val="Heading2"/>
      </w:pPr>
      <w:r>
        <w:t>2. Verfügbarer Bestand und geplanter Rückschluss</w:t>
      </w:r>
    </w:p>
    <w:p>
      <w:pPr/>
      <w:r>
        <w:t>Tatsächlich zugänglich sind {{VerfuegbarerBestand}}. Die beabsichtigte Methode lautet {{Untersuchungsmethode}}. Der Rückschluss auf die interessierende Grundgesamtheit wird begründet mit {{Rueckschlussbegruendung}}. Eine Verdachtsstichprobe und eine repräsentative Stichprobe werden getrennt; Repräsentativität wird nicht allein aus einer großen Fallzahl abgeleitet.</w:t>
      </w:r>
    </w:p>
    <w:p>
      <w:pPr>
        <w:pStyle w:val="Heading2"/>
      </w:pPr>
      <w:r>
        <w:t>3. Die konkrete Lücke und ihre Auswirkung</w:t>
      </w:r>
    </w:p>
    <w:p>
      <w:pPr/>
      <w:r>
        <w:t>Die fehlenden Positionen aus K17 sind {{FehlendeBestandsIDs}}. Sie betreffen den folgenden fachlichen Schritt: {{BetroffenerSchritt}}. Die Folge ist {{KonkreteMethodischeFolge}}. Dabei wird unterschieden zwischen tatsächlicher Undurchführbarkeit, verringerter Aussagekraft, zusätzlichem Arbeitsaufwand und einer bloß unbequemen Alternative. Die Behauptung einer Unmöglichkeit erfordert eine eigenständige Erklärung.</w:t>
      </w:r>
    </w:p>
    <w:p>
      <w:pPr>
        <w:pStyle w:val="Heading2"/>
      </w:pPr>
      <w:r>
        <w:t>4. Alternativen, Begrenzungen und Gegenprüfung</w:t>
      </w:r>
    </w:p>
    <w:p>
      <w:pPr/>
      <w:r>
        <w:t>Geprüft wurden {{FachlichGepruefteAlternativen}}. Ein begrenzter Pilotzugang, eine Vor-Ort-Sichtung, ein vorhandenes Verzeichnis oder ein kleineres rechtmäßig zugängliches Teilkorpus würde {{AlternativeWirkung}} erlauben. Nicht gleichwertig ist eine Alternative aus den folgenden konkret benannten Gründen: {{BegruendungNichtgleichwertigkeit}}. Schutz- und Nutzungsbedingungen werden in die Durchführbarkeit einbezogen.</w:t>
      </w:r>
    </w:p>
    <w:p>
      <w:pPr>
        <w:pStyle w:val="Heading2"/>
      </w:pPr>
      <w:r>
        <w:t>5. Aufwand und Kostengrundlage</w:t>
      </w:r>
    </w:p>
    <w:p>
      <w:pPr/>
      <w:r>
        <w:t>Die Kalkulation beruht auf {{Kalkulationsgrundlage}}. Mengen, Arbeitszeit, technische Kosten und Vergütungssätze werden einzeln ausgewiesen: {{Kostengliederung}}. Bereits vorhandene Daten, eigene Arbeit und kostenfreie Zugänge sind berücksichtigt: {{Kostenminderung}}. Bloße Schätzungen werden als solche gekennzeichnet. Fremde Kostenvorträge, insbesondere die im VGH-Verfahren erwähnten 90 Millionen Euro, sind keine Kalkulation des hiesigen Projekts.</w:t>
      </w:r>
    </w:p>
    <w:p>
      <w:pPr>
        <w:pStyle w:val="Heading2"/>
      </w:pPr>
      <w:r>
        <w:t>6. Verantwortung und Grenzen</w:t>
      </w:r>
    </w:p>
    <w:p>
      <w:pPr/>
      <w:r>
        <w:t>Die Stellungnahme beantwortet die beschriebenen fachlichen Fragen. Sie entscheidet weder über die Zulässigkeit einer Klage noch über einen gesetzlichen Archivanspruch oder die Verfassungswidrigkeit des Rundfunkbeitrags. Offene fachliche Fragen lauten {{OffeneFachfragen}}. Die beigefügten Nachweise sind {{FachlicheAnlagen}}.</w:t>
      </w:r>
    </w:p>
    <w:p>
      <w:pPr/>
      <w:r>
        <w:t>{{Ort}}, {{Datum}} / {{Fachperson}} / {{UnterschriftFachperson}}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K20 - Fachliche Durchführbarkeit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10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K20 - Fachliche Durchführbarkeit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