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K16 - Fall-, Zeitraum- und Belegblatt A</w:t>
      </w:r>
    </w:p>
    <w:p>
      <w:pPr/>
      <w:r>
        <w:t>Anlage erst nach vollständiger Individualisierung; kein Nachweis einer noch nicht erstellten Auswertung.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264"/>
      </w:tblGrid>
      <w:tr>
        <w:trPr>
          <w:cantSplit/>
          <w:tblHeader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shd w:fill="E8EDF0"/>
          </w:tcPr>
          <w:p>
            <w:pPr>
              <w:spacing w:after="40" w:before="20"/>
            </w:pPr>
            <w:r>
              <w:rPr>
                <w:b/>
                <w:sz w:val="21"/>
              </w:rPr>
              <w:t>Fallangabe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shd w:fill="E8EDF0"/>
          </w:tcPr>
          <w:p>
            <w:pPr>
              <w:spacing w:after="40" w:before="20"/>
            </w:pPr>
            <w:r>
              <w:rPr>
                <w:b/>
                <w:sz w:val="21"/>
              </w:rPr>
              <w:t>Eintrag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Name / interne Fallkennung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{{Klaegername}} / {{Fallkennung}}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Gericht / Aktenzeichen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{{Verwaltungsgericht}} / {{Aktenzeichen}}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Klageweg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Anfechtung einer Festsetzung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Gegenstand und Umfang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{{KonkreterStreitgegenstand}}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Weitere Verfahren / Rechtskraft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{{WeitereVerfahren}}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Verantwortliche Fallprüfung / Datum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{{FallpruefungPerson}} / {{FallpruefungDatum}}</w:t>
            </w:r>
          </w:p>
        </w:tc>
      </w:tr>
    </w:tbl>
    <w:p>
      <w:pPr>
        <w:pStyle w:val="Heading2"/>
      </w:pPr>
      <w:r>
        <w:t>1. Bescheid und Untersuchungszeitraum</w:t>
      </w:r>
    </w:p>
    <w:p>
      <w:pPr/>
      <w:r>
        <w:t>Für jeden Bescheid einen eigenen Datensatz ausfüllen. Bescheiddatum, Bekanntgabe und letzter abgerechneter Tag sind verschiedene Angaben. Bei einem Zugangsbegehren den eigenständigen Forschungszeitraum begründen; nicht automatisch das Fenster einer alten Beitragsschuld übernehmen.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264"/>
      </w:tblGrid>
      <w:tr>
        <w:trPr>
          <w:cantSplit/>
          <w:tblHeader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shd w:fill="E8EDF0"/>
          </w:tcPr>
          <w:p>
            <w:pPr>
              <w:spacing w:after="40" w:before="20"/>
            </w:pPr>
            <w:r>
              <w:rPr>
                <w:b/>
                <w:sz w:val="21"/>
              </w:rPr>
              <w:t>Merkmal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shd w:fill="E8EDF0"/>
          </w:tcPr>
          <w:p>
            <w:pPr>
              <w:spacing w:after="40" w:before="20"/>
            </w:pPr>
            <w:r>
              <w:rPr>
                <w:b/>
                <w:sz w:val="21"/>
              </w:rPr>
              <w:t>Konkrete Angabe mit Nachweis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Dokumentart / Bescheiddatum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{{Dokumentart}} / {{Bescheiddatum}}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Bekanntgabe / Zustellungsbeleg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{{Bekanntgabe}} / {{Zustellungsbeleg}}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Abgerechneter Zeitraum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{{BeitragszeitraumBeginn}} bis {{BeitragszeitraumEnde}}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Angegriffener Betrag / Umfang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{{AngegriffenerBetrag}} / {{Anfechtungsumfang}}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Widerspruch und Klagefrist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{{Fristvortrag}}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Untersuchungsfenster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{{ProgrammzeitraumBeginn}} bis {{ProgrammzeitraumEnde}}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Begründung / mindestens zwei Jahre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{{ZeitfensterBegruendung}}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Abrechnung länger als zwei Jahre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{{UmgangLaengererAbrechnung}}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Berührung von Zeiten vor 18.07.2018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{{Referenz2018}}</w:t>
            </w:r>
          </w:p>
        </w:tc>
      </w:tr>
    </w:tbl>
    <w:p>
      <w:pPr/>
      <w:r>
        <w:t>Rechenbeispiele, keine Falldaten: Ein Beitragszeitraum bis 31.08.2025 führt bei einem 24-monatigen Mindestfenster zu 01.09.2023-31.08.2025. Ein Ende 30.11.2025 führt zu 01.12.2023-30.11.2025. Mehrere Bescheide verlangen getrennte Zuordnung. Ein längerer Abrechnungszeitraum wird nicht ohne Begründung auf die letzten zwei Jahre verkürzt. Quelle: BVerwG 6 C 5.24, Rn. 41; individuelle Rechts- und Sachlage zusätzlich prüfen.</w:t>
      </w:r>
    </w:p>
    <w:p>
      <w:pPr>
        <w:pStyle w:val="Heading2"/>
      </w:pPr>
      <w:r>
        <w:t>2. Einzelauswertung je herangezogener Quelle</w:t>
      </w:r>
    </w:p>
    <w:p>
      <w:pPr/>
      <w:r>
        <w:t>Diesen Abschnitt für jeden tragenden Beleg duplizieren. Nicht erstellte Teilrechnungen ausdrücklich als fehlend kennzeichnen.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264"/>
      </w:tblGrid>
      <w:tr>
        <w:trPr>
          <w:cantSplit/>
          <w:tblHeader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shd w:fill="E8EDF0"/>
          </w:tcPr>
          <w:p>
            <w:pPr>
              <w:spacing w:after="40" w:before="20"/>
            </w:pPr>
            <w:r>
              <w:rPr>
                <w:b/>
                <w:sz w:val="21"/>
              </w:rPr>
              <w:t>Nachweisfrage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shd w:fill="E8EDF0"/>
          </w:tcPr>
          <w:p>
            <w:pPr>
              <w:spacing w:after="40" w:before="20"/>
            </w:pPr>
            <w:r>
              <w:rPr>
                <w:b/>
                <w:sz w:val="21"/>
              </w:rPr>
              <w:t>Eintrag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Belegkennung / Version / Datei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{{Belegkennung}} / {{Fassung}} / {{Dateiname}}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Untersuchter Zeitraum und Bestand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{{Quellzeitraum}} / {{Korpus}}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Zuordnung zum eigenen Fenster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{{Ueberschneidung}}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Tatsächlicher Status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{{StatusAuswertung}}: ausgewertet / Material vorhanden / fehlt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Auswertung und Teilfallzahl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{{Auswertungsdatei}} / {{Teilfallzahl}}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Konkrete Aussage / Fundstelle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{{BelegAussage}} / {{SeiteTabelleRandnummer}}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Vielfaltsdimension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{{Dimension}}: gegenständlich / meinungsmäßig / beide / Zugang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Medienarten / Genres / Anstalten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{{Abdeckung}}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Aussagegrenzen / Gegenbefunde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{{GrenzenUndGegenbefunde}}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Relevanz für den eigenen Antrag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{{Entscheidungserheblichkeit}}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Tatsächlich vorgelegte Unterlagen</w:t>
            </w:r>
          </w:p>
        </w:tc>
        <w:tc>
          <w:tcPr>
            <w:tcW w:type="dxa" w:w="62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40" w:before="20"/>
            </w:pPr>
            <w:r>
              <w:rPr>
                <w:b w:val="0"/>
                <w:sz w:val="21"/>
              </w:rPr>
              <w:t>{{Einreichungsnachweis}}</w:t>
            </w:r>
          </w:p>
        </w:tc>
      </w:tr>
    </w:tbl>
    <w:p>
      <w:pPr>
        <w:pStyle w:val="Heading2"/>
      </w:pPr>
      <w:r>
        <w:t>3. Gesamtbezug und offene Bereiche</w:t>
      </w:r>
    </w:p>
    <w:p>
      <w:pPr/>
      <w:r>
        <w:t>Der gesonderte Tatsachenvortrag zur gegenständlichen Vielfalt lautet {{GegenstaendlicherBefund}}. Der Vortrag zur meinungsmäßigen Vielfalt lautet {{MeinungsbezogenerBefund}}. Die Schlussfolgerung über den Einzelkorpus hinaus wird begründet mit {{BegruendungGesamtrueckschluss}}. Nicht untersuchte Medienarten, Anstalten, Genres oder Zeitabschnitte sind {{OffeneBereiche}}. Sie werden nicht als erwiesene Defizite behandelt.</w:t>
      </w:r>
    </w:p>
    <w:p>
      <w:pPr/>
      <w:r>
        <w:t>Historische oder spätere Vergleichsquellen werden nur in der folgenden Funktion verwendet: {{VergleichsquellenFunktion}}. Die Beweisanträge in K18 beziehen sich auf {{AktivierteBeweiskomplexe}}. Aus dieser Vorlage folgt keine Zusicherung, dass die Eingangsschwelle zur Amtsermittlung erreicht ist.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276" w:bottom="1134" w:left="1276" w:header="454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Seite </w:t>
    </w:r>
    <w:r>
      <w:rPr>
        <w:sz w:val="18"/>
      </w:rPr>
      <w:fldChar w:fldCharType="begin"/>
      <w:instrText xml:space="preserve"> PAGE </w:instrText>
      <w:fldChar w:fldCharType="end"/>
    </w:r>
    <w:r>
      <w:rPr>
        <w:sz w:val="18"/>
      </w:rPr>
      <w:t xml:space="preserve"> von </w:t>
    </w:r>
    <w:r>
      <w:rPr>
        <w:sz w:val="18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K16 - Fall und Belege | V7.0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40" w:lineRule="auto" w:after="100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Times New Roman" w:hAnsi="Times New Roman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60"/>
      <w:outlineLvl w:val="2"/>
    </w:pPr>
    <w:rPr>
      <w:rFonts w:ascii="Times New Roman" w:hAnsi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160"/>
      <w:contextualSpacing/>
    </w:pPr>
    <w:rPr>
      <w:rFonts w:ascii="Times New Roman" w:hAnsi="Times New Roman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K16 - Fall und Belege | V7.0</dc:title>
  <dc:subject>Modulare Klageschriften - Fassung 7.0 vom 04.10.2026</dc:subject>
  <dc:creator>Freiheitskanzlei / Beitragsstopper</dc:creator>
  <cp:keywords/>
  <dc:description>Standardtext; individuelle Angaben und Freigabe vor Einreichung erforderlich.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