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Anträge</w:t>
      </w:r>
    </w:p>
    <w:p>
      <w:r>
        <w:t>Die Klägerseite beantragt,</w:t>
      </w:r>
    </w:p>
    <w:p>
      <w:pPr>
        <w:ind w:left="340" w:hanging="340"/>
      </w:pPr>
      <w:r>
        <w:t>1. den in K16 mit Datum, Bekanntgabe, Beitragszeitraum und angegriffenem Betrag bezeichneten Festsetzungsbescheid der Beklagten vom {{Bescheiddatum}} in Gestalt des Widerspruchsbescheids vom {{Widerspruchsbescheiddatum}} aufzuheben, soweit darin {{Anfechtungsumfang}} festgesetzt wird;</w:t>
      </w:r>
    </w:p>
    <w:p>
      <w:pPr>
        <w:ind w:left="340" w:hanging="340"/>
      </w:pPr>
      <w:r>
        <w:t>2. der Beklagten die Kosten des Verfahrens aufzuerlegen.</w:t>
      </w:r>
    </w:p>
    <w:p>
      <w:r>
        <w:t>Die Klage wird mit den Abschnitten 1 bis 4 sowie den im ausgefüllten K16 zugeordneten und tatsächlich eingeführten Beweismitteln begründet. Die förmlichen Beweisanträge ergeben sich ausschließlich aus K18. Beiziehungsanregungen und Beweisangebote dienen diesem Aufhebungsbegehren; sie begründen keine weiteren selbständigen Leistungs- oder Feststellungsanträge. K16 und der vorstehende Antrag müssen hinsichtlich aller angegriffenen Bescheide und Beträge übereinstimmen.</w:t>
      </w:r>
    </w:p>
    <w:p>
      <w:r>
        <w:t>Es wird eine öffentliche mündliche Verhandlung beantragt. Einer Entscheidung ohne mündliche Verhandlung nach § 101 Abs. 2 VwGO wird nicht zugestimmt.</w:t>
      </w:r>
    </w:p>
    <w:p>
      <w:pPr/>
      <w:r>
        <w:t>Dies schließt die gesetzlichen Voraussetzungen eines Gerichtsbescheids nach § 84 VwGO nicht aus. Die konkreten Einwände gegen eine solche Verfahrensweise sind {{EinwaendeGerichtsbescheid}}. Ein Antrag auf vorläufigen Rechtsschutz wird mit diesem Hauptsacheantrag nicht automatisch gestellt.</w:t>
      </w:r>
    </w:p>
    <w:p>
      <w:r>
        <w:rPr>
          <w:i/>
        </w:rPr>
        <w:t>{{Ort}}</w:t>
      </w:r>
      <w:r>
        <w:t xml:space="preserve">, </w:t>
      </w:r>
      <w:r>
        <w:rPr>
          <w:i/>
        </w:rPr>
        <w:t>{{Datum}}</w:t>
      </w:r>
    </w:p>
    <w:p>
      <w:r>
        <w:t>______________________________</w:t>
      </w:r>
    </w:p>
    <w:p>
      <w:r>
        <w:rPr>
          <w:i/>
        </w:rPr>
        <w:t>{{Klaegername}}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91" w:right="1276" w:bottom="1134" w:left="1276" w:header="454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Seite </w:t>
    </w:r>
    <w:r>
      <w:rPr>
        <w:sz w:val="18"/>
      </w:rPr>
      <w:fldChar w:fldCharType="begin"/>
      <w:instrText xml:space="preserve"> PAGE </w:instrText>
      <w:fldChar w:fldCharType="end"/>
    </w:r>
    <w:r>
      <w:rPr>
        <w:sz w:val="18"/>
      </w:rPr>
      <w:t xml:space="preserve"> von </w:t>
    </w:r>
    <w:r>
      <w:rPr>
        <w:sz w:val="18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Anträge - Anfechtungsklage | V7.0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8" w:lineRule="auto" w:after="14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/>
      <w:outlineLvl w:val="0"/>
    </w:pPr>
    <w:rPr>
      <w:rFonts w:ascii="Times New Roman" w:hAnsi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60"/>
      <w:outlineLvl w:val="1"/>
    </w:pPr>
    <w:rPr>
      <w:rFonts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60"/>
      <w:outlineLvl w:val="2"/>
    </w:pPr>
    <w:rPr>
      <w:rFonts w:ascii="Times New Roman" w:hAnsi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160"/>
      <w:contextualSpacing/>
    </w:pPr>
    <w:rPr>
      <w:rFonts w:ascii="Times New Roman" w:hAnsi="Times New Roman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Anträge - Anfechtungsklage | V7.0</dc:title>
  <dc:subject>Modulare Klageschriften - Fassung 7.0 vom 04.10.2026</dc:subject>
  <dc:creator>Freiheitskanzlei / Beitragsstopper</dc:creator>
  <cp:keywords/>
  <dc:description>Standardtext; individuelle Angaben und Freigabe vor Einreichung erforderlich.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